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14"/>
        <w:gridCol w:w="129"/>
        <w:gridCol w:w="144"/>
        <w:gridCol w:w="286"/>
        <w:gridCol w:w="143"/>
        <w:gridCol w:w="1433"/>
        <w:gridCol w:w="430"/>
        <w:gridCol w:w="430"/>
        <w:gridCol w:w="716"/>
        <w:gridCol w:w="573"/>
        <w:gridCol w:w="144"/>
        <w:gridCol w:w="430"/>
        <w:gridCol w:w="143"/>
        <w:gridCol w:w="143"/>
        <w:gridCol w:w="143"/>
        <w:gridCol w:w="144"/>
        <w:gridCol w:w="86"/>
        <w:gridCol w:w="487"/>
        <w:gridCol w:w="143"/>
        <w:gridCol w:w="430"/>
        <w:gridCol w:w="286"/>
        <w:gridCol w:w="144"/>
        <w:gridCol w:w="143"/>
        <w:gridCol w:w="573"/>
        <w:gridCol w:w="143"/>
        <w:gridCol w:w="860"/>
        <w:gridCol w:w="143"/>
        <w:gridCol w:w="144"/>
        <w:gridCol w:w="429"/>
        <w:gridCol w:w="144"/>
        <w:gridCol w:w="286"/>
        <w:gridCol w:w="659"/>
        <w:gridCol w:w="58"/>
        <w:gridCol w:w="143"/>
        <w:gridCol w:w="29"/>
      </w:tblGrid>
      <w:tr>
        <w:trPr>
          <w:trHeight w:val="143"/>
        </w:trPr>
        <w:tc>
          <w:tcPr>
            <w:tcW w:w="5531" w:type="dxa"/>
            <w:gridSpan w:val="17"/>
          </w:tcPr>
          <w:p/>
        </w:tc>
        <w:tc>
          <w:tcPr>
            <w:tcW w:w="5014" w:type="dxa"/>
            <w:gridSpan w:val="15"/>
            <w:vMerge w:val="restart"/>
            <w:shd w:val="clear" w:color="auto" w:fill="auto"/>
          </w:tcPr>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de cohérence. Les critères de sélection des OPC ISR, exposés ci-dessus, sont détaillés à la rubrique « Stratégie d’investissement » du Prospectus. </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La SICAV peut être investie dans les classes d’actifs ci-après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entre 5% et 10 % : dans des actifs solidaires (billets à ordre, bons de caisse, participation au capital ou parts de fonds de capital investissement ou d’organisme de placement collectif (OPC) agréés en application de l’article L. 3332-17-1 du Code du travail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entre 55% et 95% : en parts et/ou actions d’OPCVM ou FIA de type « Actions de pays de la Zone Euro » et/ou « Actions de l’Union européenne » et/ou « Actions françaises » et ou « Actions internationales »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entre 0% et 40% : en parts et/ou actions d’OPCVM ou FIA de type monétaire standard et/ou court terme et/ou classification « obligations et autres titres de créances libellés en euro » et/ou « Obligations et autres titres de créances internationaux »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entre 0% et 10% : en parts et/ou actions d’OPCVM ou FIA spécialisés dans les petites et moyennes capitalisations de la communauté européenne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entre 0% et 30% : en parts et/ou actions d’OPCVM ou FIA de type « multi-actifs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La SICAV n’a pas vocation à investir dans des parts et/ou actions d’OPC spécialisés dans des obligations high yield.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La SICAV peut être exposée jusqu’à 40% de l’actif net au risque de change.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En fonction de ses anticipations, le gérant peut augmenter ou diminuer son exposition au marché monétaire, obligataire et/ou actions dans le respect des contraintes d’investissement précisées ci-dessus. </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Affectation des sommes distribuables</w:t>
            </w:r>
            <w:r>
              <w:rPr>
                <w:color w:val="000000"/>
                <w:sz w:val="16"/>
                <w:szCs w:val="16"/>
                <w:rFonts w:ascii="Aparajita" w:hAnsi="Aparajita" w:eastAsia="Aparajita" w:cs="Aparajita"/>
                <w:spacing w:val="-2"/>
              </w:rPr>
              <w:t xml:space="preserve"> : capitalisation </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Investisseurs de détail visés : </w:t>
            </w:r>
            <w:r>
              <w:rPr>
                <w:color w:val="000000"/>
                <w:sz w:val="16"/>
                <w:szCs w:val="16"/>
                <w:rFonts w:ascii="Aparajita" w:hAnsi="Aparajita" w:eastAsia="Aparajita" w:cs="Aparajita"/>
                <w:spacing w:val="-2"/>
              </w:rPr>
              <w:t xml:space="preserve">La SICAV s'adresse à des investisseurs recherchant une valorisation de leur épargne à </w:t>
            </w:r>
            <w:r>
              <w:rPr>
                <w:b/>
                <w:color w:val="000000"/>
                <w:sz w:val="16"/>
                <w:szCs w:val="16"/>
                <w:rFonts w:ascii="Aparajita" w:hAnsi="Aparajita" w:eastAsia="Aparajita" w:cs="Aparajita"/>
                <w:spacing w:val="-2"/>
              </w:rPr>
              <w:t xml:space="preserve">long terme </w:t>
            </w:r>
            <w:r>
              <w:rPr>
                <w:color w:val="000000"/>
                <w:sz w:val="16"/>
                <w:szCs w:val="16"/>
                <w:rFonts w:ascii="Aparajita" w:hAnsi="Aparajita" w:eastAsia="Aparajita" w:cs="Aparajita"/>
                <w:spacing w:val="-2"/>
              </w:rPr>
              <w:t xml:space="preserve">(supérieure à </w:t>
            </w:r>
            <w:r>
              <w:rPr>
                <w:b/>
                <w:color w:val="000000"/>
                <w:sz w:val="16"/>
                <w:szCs w:val="16"/>
                <w:rFonts w:ascii="Aparajita" w:hAnsi="Aparajita" w:eastAsia="Aparajita" w:cs="Aparajita"/>
                <w:spacing w:val="-2"/>
              </w:rPr>
              <w:t xml:space="preserve">5 ans </w:t>
            </w:r>
            <w:r>
              <w:rPr>
                <w:color w:val="000000"/>
                <w:sz w:val="16"/>
                <w:szCs w:val="16"/>
                <w:rFonts w:ascii="Aparajita" w:hAnsi="Aparajita" w:eastAsia="Aparajita" w:cs="Aparajita"/>
                <w:spacing w:val="-2"/>
              </w:rPr>
              <w:t xml:space="preserve">), ayant une connaissance théorique de marchés actions tout en acceptant de s'exposer à un risque de variation de la valeur liquidative inhérent à ces marchés. Il pourrait ne pas convenir aux investisseurs qui prévoient de retirer leurs apports avant la durée de placement recommandée. Ce produit n’est pas à destination de personnes présentant les caractéristiques d’US Person comme défini dans le Prospectus de la SICAV. </w:t>
            </w: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Assurance : </w:t>
            </w:r>
            <w:r>
              <w:rPr>
                <w:color w:val="000000"/>
                <w:sz w:val="16"/>
                <w:szCs w:val="16"/>
                <w:rFonts w:ascii="Aparajita" w:hAnsi="Aparajita" w:eastAsia="Aparajita" w:cs="Aparajita"/>
                <w:spacing w:val="-2"/>
              </w:rPr>
              <w:t xml:space="preserve">Non-applicable. </w:t>
            </w: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Dépositaire :</w:t>
            </w:r>
            <w:r>
              <w:rPr>
                <w:color w:val="000000"/>
                <w:sz w:val="16"/>
                <w:szCs w:val="16"/>
                <w:rFonts w:ascii="Aparajita" w:hAnsi="Aparajita" w:eastAsia="Aparajita" w:cs="Aparajita"/>
                <w:spacing w:val="-2"/>
              </w:rPr>
              <w:t xml:space="preserve"> </w:t>
            </w:r>
            <w:r>
              <w:rPr>
                <w:b/>
                <w:color w:val="000000"/>
                <w:sz w:val="16"/>
                <w:szCs w:val="16"/>
                <w:rFonts w:ascii="Aparajita" w:hAnsi="Aparajita" w:eastAsia="Aparajita" w:cs="Aparajita"/>
                <w:spacing w:val="-2"/>
              </w:rPr>
              <w:t xml:space="preserve">BNP PARIBAS SA</w:t>
            </w:r>
            <w:r>
              <w:rPr>
                <w:color w:val="000000"/>
                <w:sz w:val="16"/>
                <w:szCs w:val="16"/>
                <w:rFonts w:ascii="Aparajita" w:hAnsi="Aparajita" w:eastAsia="Aparajita" w:cs="Aparajita"/>
                <w:spacing w:val="-2"/>
              </w:rPr>
              <w:t xml:space="preserve">. </w:t>
            </w: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Informations complémentaires : </w:t>
            </w:r>
            <w:r>
              <w:rPr>
                <w:color w:val="000000"/>
                <w:sz w:val="16"/>
                <w:szCs w:val="16"/>
                <w:rFonts w:ascii="Aparajita" w:hAnsi="Aparajita" w:eastAsia="Aparajita" w:cs="Aparajita"/>
                <w:spacing w:val="-2"/>
              </w:rPr>
              <w:t xml:space="preserve">les actionnaires de la SICAV peuvent obtenir sur simple demande écrite, gratuitement, auprès de la société de gestion un exemplaire des statuts et des rapports annuels et semestriels de la SICAV, lesquels sont disponibles en français à l'adresse </w:t>
            </w:r>
            <w:r>
              <w:rPr>
                <w:b/>
                <w:color w:val="000000"/>
                <w:sz w:val="16"/>
                <w:szCs w:val="16"/>
                <w:rFonts w:ascii="Aparajita" w:hAnsi="Aparajita" w:eastAsia="Aparajita" w:cs="Aparajita"/>
                <w:spacing w:val="-2"/>
              </w:rPr>
              <w:t xml:space="preserve">bg_almga_contact@ag2rlamondiale.fr</w:t>
            </w:r>
            <w:r>
              <w:rPr>
                <w:color w:val="000000"/>
                <w:sz w:val="16"/>
                <w:szCs w:val="16"/>
                <w:rFonts w:ascii="Aparajita" w:hAnsi="Aparajita" w:eastAsia="Aparajita" w:cs="Aparajita"/>
                <w:spacing w:val="-2"/>
              </w:rPr>
              <w:t xml:space="preserve">. La valeur liquidative est disponible sur le site internet de la société de gestion. </w:t>
            </w:r>
            <w:r>
              <w:rPr>
                <w:b/>
                <w:color w:val="000000"/>
                <w:sz w:val="16"/>
                <w:szCs w:val="16"/>
                <w:rFonts w:ascii="Aparajita" w:hAnsi="Aparajita" w:eastAsia="Aparajita" w:cs="Aparajita"/>
                <w:spacing w:val="-2"/>
              </w:rPr>
              <w:t xml:space="preserve">www.ag2rlamondiale-ga.fr</w:t>
            </w:r>
            <w:r>
              <w:rPr>
                <w:color w:val="000000"/>
                <w:sz w:val="16"/>
                <w:szCs w:val="16"/>
                <w:rFonts w:ascii="Aparajita" w:hAnsi="Aparajita" w:eastAsia="Aparajita" w:cs="Aparajita"/>
                <w:spacing w:val="-2"/>
              </w:rPr>
              <w:t xml:space="preserve">.</w:t>
            </w:r>
            <w:r>
              <w:rPr>
                <w:color w:val="000000"/>
                <w:sz w:val="16"/>
                <w:szCs w:val="16"/>
                <w:rFonts w:ascii="Aparajita" w:hAnsi="Aparajita" w:eastAsia="Aparajita" w:cs="Aparajita"/>
                <w:spacing w:val="-2"/>
              </w:rPr>
              <w:t xml:space="preserve"> </w:t>
            </w:r>
          </w:p>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Périodicité de calcul de la valeur liquidative et demandes de rachat : </w:t>
            </w:r>
            <w:r>
              <w:rPr>
                <w:color w:val="000000"/>
                <w:sz w:val="16"/>
                <w:szCs w:val="16"/>
                <w:rFonts w:ascii="Aparajita" w:hAnsi="Aparajita" w:eastAsia="Aparajita" w:cs="Aparajita"/>
                <w:spacing w:val="-2"/>
              </w:rPr>
              <w:t xml:space="preserve">Les demandes de souscriptions et de rachats sont reçues tous les jours ouvrables et centralisées chaque jour de valorisation (J) jusqu’à 10h30 auprès de BNP Paribas SA. Elles sont exécutées sur la base de la valeur liquidative du jour et sont livrées ou réglées en J+3.</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w:r>
          </w:p>
          <w:p/>
        </w:tc>
        <w:tc>
          <w:tcPr>
            <w:tcW w:w="230" w:type="dxa"/>
            <w:gridSpan w:val="3"/>
          </w:tcPr>
          <w:p/>
        </w:tc>
      </w:tr>
      <w:tr>
        <w:trPr>
          <w:trHeight w:val="2866"/>
        </w:trPr>
        <w:tc>
          <w:tcPr>
            <w:tcW w:w="143" w:type="dxa"/>
            <w:gridSpan w:val="2"/>
          </w:tcPr>
          <w:p/>
        </w:tc>
        <w:tc>
          <w:tcPr>
            <w:tcW w:w="5015" w:type="dxa"/>
            <w:gridSpan w:val="12"/>
            <w:vMerge w:val="restart"/>
            <w:shd w:val="clear" w:color="auto" w:fill="auto"/>
          </w:tcPr>
          <w:p>
            <w:pPr>
              <w:rPr>
                <w:rFonts w:ascii="Aparajita" w:hAnsi="Aparajita" w:eastAsia="Aparajita" w:cs="Aparajita"/>
                <w:color w:val="000000"/>
                <w:sz w:val="16"/>
                <w:spacing w:val="-2"/>
              </w:rPr>
              <w:spacing w:line="229"/>
              <w:jc w:val="both"/>
            </w:pPr>
            <w:r>
              <w:rPr>
                <w:b/>
                <w:u w:val="single"/>
                <w:color w:val="000000"/>
                <w:sz w:val="16"/>
                <w:szCs w:val="16"/>
                <w:rFonts w:ascii="Aparajita" w:hAnsi="Aparajita" w:eastAsia="Aparajita" w:cs="Aparajita"/>
                <w:spacing w:val="-2"/>
              </w:rPr>
              <w:t xml:space="preserve">Type</w:t>
            </w:r>
            <w:r>
              <w:rPr>
                <w:color w:val="000000"/>
                <w:sz w:val="16"/>
                <w:szCs w:val="16"/>
                <w:rFonts w:ascii="Aparajita" w:hAnsi="Aparajita" w:eastAsia="Aparajita" w:cs="Aparajita"/>
                <w:spacing w:val="-2"/>
              </w:rPr>
              <w:t xml:space="preserve"> : ALM SOLIDAIRE ISR est un Fonds d’Investissement à Vocation Générale (FIVG) de droit français relevant de l’article L214-4 et suivants du Code Monétaire et Financier prenant la forme d’une Société d'Investissement à Capital Variable (SICAV). Cette SICAV a été agréée par l’Autorité des Marchés Financiers.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w:t>
            </w:r>
          </w:p>
          <w:p>
            <w:pPr>
              <w:rPr>
                <w:rFonts w:ascii="Aparajita" w:hAnsi="Aparajita" w:eastAsia="Aparajita" w:cs="Aparajita"/>
                <w:color w:val="000000"/>
                <w:sz w:val="16"/>
                <w:spacing w:val="-2"/>
              </w:rPr>
              <w:spacing w:line="229"/>
              <w:jc w:val="both"/>
            </w:pPr>
            <w:r>
              <w:rPr>
                <w:b/>
                <w:u w:val="single"/>
                <w:color w:val="000000"/>
                <w:sz w:val="16"/>
                <w:szCs w:val="16"/>
                <w:rFonts w:ascii="Aparajita" w:hAnsi="Aparajita" w:eastAsia="Aparajita" w:cs="Aparajita"/>
                <w:spacing w:val="-2"/>
              </w:rPr>
              <w:t xml:space="preserve">Durée et résiliation (résiliation de l’initiateur)</w:t>
            </w:r>
            <w:r>
              <w:rPr>
                <w:color w:val="000000"/>
                <w:sz w:val="16"/>
                <w:szCs w:val="16"/>
                <w:rFonts w:ascii="Aparajita" w:hAnsi="Aparajita" w:eastAsia="Aparajita" w:cs="Aparajita"/>
                <w:spacing w:val="-2"/>
              </w:rPr>
              <w:t xml:space="preserve"> : Le Fonds est créé pour une durée de 99 ans. La Société de gestion peut décider la dissolution ou la fusion du présent Fonds à son initiative.</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b/>
                <w:u w:val="single"/>
                <w:color w:val="000000"/>
                <w:sz w:val="16"/>
                <w:szCs w:val="16"/>
                <w:rFonts w:ascii="Aparajita" w:hAnsi="Aparajita" w:eastAsia="Aparajita" w:cs="Aparajita"/>
                <w:spacing w:val="-2"/>
              </w:rPr>
              <w:t xml:space="preserve">Objectifs :</w:t>
            </w:r>
            <w:r>
              <w:rPr>
                <w:b/>
                <w:u w:val="single"/>
                <w:color w:val="000000"/>
                <w:sz w:val="16"/>
                <w:szCs w:val="16"/>
                <w:rFonts w:ascii="Aparajita" w:hAnsi="Aparajita" w:eastAsia="Aparajita" w:cs="Aparajita"/>
                <w:spacing w:val="-2"/>
              </w:rPr>
              <w:t xml:space="preserve"> </w:t>
            </w:r>
            <w:r>
              <w:rPr>
                <w:color w:val="000000"/>
                <w:sz w:val="16"/>
                <w:szCs w:val="16"/>
                <w:rFonts w:ascii="Aparajita" w:hAnsi="Aparajita" w:eastAsia="Aparajita" w:cs="Aparajita"/>
                <w:spacing w:val="-2"/>
              </w:rPr>
              <w:t xml:space="preserve">La SICAV « ALM SOLIDAIRE ISR » est un fonds de fonds multi-actifs. Elle a pour objectif d’obtenir, par une approche financière et d’investissement socialement responsable, sur la durée de placement recommandée de 5 ans, un rendement net des frais de gestion égal à l’indicateur de référence suivant : 7.5% de la performance de l’indice €STR capitalisé + 17.5% de la performance de l’indice Bloomberg Barclays Euro Aggregate + 75% de la performance de l’indice MSCI EMU.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L’objectif de la SICAV tient compte de l‘investissement en titres solidaires qui représente entre 5% et 10% de l’actif net, et dont il n’est pas spécifiquement attendu de rendement financier. La part solidaire est investie de façon non lucrative pour un bénéfice social. L’indice « €STR Capitalisé Jour » (Code Bloomberg : BNPIESTC) est calculé sur la base des taux €STR correspondant à la moyenne des taux au jour le jour de la zone euro et représentant le taux sans risque de la zone euro. L’indice Bloomberg Barclays Euro Aggregate [évalué sur les cours de clôture, coupons réinvestis, (Code Bloomberg : LBEATREU Index)] est composé de titres obligataires émis en euros et bénéficiant d'une notation « Investment grade ». L’indice MSCI EMU [évalué sur les cours de clôture, dividendes nets réinvestis (code Bloomberg : MSDEEMUN Index)] est un indice actions représentatif des plus grandes capitalisations de la Zone Euro. La SICAV n’est pas un fonds indiciel et n’a pas vocation à suivre ces indices. </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La stratégie de gestion de la SICAV est discrétionnaire et consiste en une exposition aux marchés actions et obligataires de la Zone Euro tout en se réservant la possibilité d’intervenir sur les marchés hors Zone Euro (actions européennes, actions internationales). Néanmoins, la SICAV n’a pas vocation à intervenir sur les marchés actions de pays émergents. Elle applique un processus de sélection quantitative et qualitative d’OPC. Elle est guidée en permanence par une diversification des placements et une optimisation des actifs en adéquation avec les horizons et les degrés de risques prédéterminés. Cette SICAV est exposée entre 5% et 10% en titres émis par des entreprises solidaires agréées ou en fonds investissant dans ces titres. 90% minimum des investissements sont réalisés à travers des parts ou actions d’OPC principalement gérés par la société de gestion et intégrant des critères environnementaux, sociaux et de gouvernance (ESG). Ces investissements sont réalisés selon la méthodologie d’investissements socialement responsable (ISR) définie par la société de gestion qui s’appuie sur le Comité d’Investissement Responsable, qui réunit l’ensemble des parties prenantes (gestion, analyse ISR et développement, contrôle, opérations et risques, juridique). Ce Comité a pour mission : - de traduire les valeurs d’AG2R LA MONDIALE en matière ESG dans la politique d’investissement du groupe ; - de valider le processus d’évaluation et de sélection des émetteurs et OPC selon leurs pratiques ESG ; - de valider la liste des titres solidaires éligibles à l’investissement dans les portefeuilles. Pour la sélection d’OPC ISR internes et externes, la méthodologie consiste à appliquer des critères d’éligibilité définis par la société de gestion (durée d’existence du fonds, forme juridique et classification réglementaire, encours). La société de gestion sélectionne différentes approches ISR comme des approches dites Best-in-class (pour ne retenir que les meilleurs émetteurs de chaque secteur sans exclure aucun secteur a priori), Best-in-universe (afin de sélectionner les meilleurs émetteurs de l’univers d’investissement étudié) et d’exclusions (de secteurs ou de valeurs). Cette sélection permet d’obtenir un univers réduit d’OPC externes déclarant appliquer une stratégie ISR et distribués comme tels sur lequel sont réalisées des études d’ordre quantitatif et qualitatif. Les fonds sélectionnés peuvent a priori mettre en place des approches ESG différentes et indépendantes les unes des autres. La sélection d’OPC ISR externes à la société de gestion peut générer une absence</w:t>
            </w:r>
          </w:p>
          <w:p/>
        </w:tc>
        <w:tc>
          <w:tcPr>
            <w:tcW w:w="373" w:type="dxa"/>
            <w:gridSpan w:val="3"/>
          </w:tcPr>
          <w:p/>
        </w:tc>
        <w:tc>
          <w:tcPr>
            <w:tcW w:w="5014" w:type="dxa"/>
            <w:gridSpan w:val="15"/>
            <w:vMerge/>
            <w:shd w:val="clear" w:color="auto" w:fill="auto"/>
          </w:tcPr>
          <w:p/>
        </w:tc>
        <w:tc>
          <w:tcPr>
            <w:tcW w:w="230" w:type="dxa"/>
            <w:gridSpan w:val="3"/>
          </w:tcPr>
          <w:p/>
        </w:tc>
      </w:tr>
      <w:tr>
        <w:trPr>
          <w:trHeight w:val="429"/>
        </w:trPr>
        <w:tc>
          <w:tcPr>
            <w:tcW w:w="10746" w:type="dxa"/>
            <w:gridSpan w:val="34"/>
            <w:vAlign w:val="bottom"/>
            <w:shd w:val="clear" w:color="auto" w:fill="auto"/>
          </w:tcPr>
          <w:p>
            <w:pPr>
              <w:rPr>
                <w:rFonts w:ascii="Aparajita" w:hAnsi="Aparajita" w:eastAsia="Aparajita" w:cs="Aparajita"/>
                <w:color w:val="000000"/>
                <w:sz w:val="18"/>
                <w:spacing w:val="-2"/>
              </w:rPr>
              <w:spacing w:line="245"/>
            </w:pPr>
            <w:r>
              <w:rPr>
                <w:b/>
                <w:color w:val="000000"/>
                <w:sz w:val="18"/>
                <w:szCs w:val="18"/>
                <w:rFonts w:ascii="Aparajita" w:hAnsi="Aparajita" w:eastAsia="Aparajita" w:cs="Aparajita"/>
                <w:spacing w:val="-2"/>
              </w:rPr>
              <w:t xml:space="preserve">Quels sont les risques et qu'est-ce que cela pourrait me rapporter ?</w:t>
            </w:r>
          </w:p>
          <w:p>
            <w:pPr>
              <w:rPr>
                <w:rFonts w:ascii="Aparajita" w:hAnsi="Aparajita" w:eastAsia="Aparajita" w:cs="Aparajita"/>
                <w:color w:val="000000"/>
                <w:sz w:val="18"/>
                <w:spacing w:val="-2"/>
              </w:rPr>
              <w:spacing w:line="245"/>
            </w:pPr>
            <w:r>
              <w:rPr>
                <w:b/>
                <w:color w:val="000000"/>
                <w:sz w:val="18"/>
                <w:szCs w:val="18"/>
                <w:rFonts w:ascii="Aparajita" w:hAnsi="Aparajita" w:eastAsia="Aparajita" w:cs="Aparajita"/>
                <w:spacing w:val="-2"/>
              </w:rPr>
              <w:t xml:space="preserve"/>
            </w:r>
          </w:p>
          <w:p/>
        </w:tc>
        <w:tc>
          <w:tcPr>
            <w:tcW w:w="29" w:type="dxa"/>
          </w:tcPr>
          <w:p/>
        </w:tc>
      </w:tr>
      <w:tr>
        <w:trPr>
          <w:trHeight w:val="144"/>
        </w:trPr>
        <w:tc>
          <w:tcPr>
            <w:tcW w:w="2149" w:type="dxa"/>
            <w:gridSpan w:val="6"/>
            <w:vMerge w:val="restart"/>
            <w:vAlign w:val="center"/>
            <w:shd w:val="clear" w:color="auto" w:fill="auto"/>
          </w:tcPr>
          <w:p>
            <w:pPr>
              <w:rPr>
                <w:rFonts w:ascii="Aparajita" w:hAnsi="Aparajita" w:eastAsia="Aparajita" w:cs="Aparajita"/>
                <w:u w:val="single"/>
                <w:color w:val="000000"/>
                <w:sz w:val="16"/>
                <w:spacing w:val="-2"/>
              </w:rPr>
              <w:spacing w:line="229"/>
            </w:pPr>
            <w:r>
              <w:rPr>
                <w:b/>
                <w:u w:val="single"/>
                <w:color w:val="000000"/>
                <w:sz w:val="16"/>
                <w:szCs w:val="16"/>
                <w:rFonts w:ascii="Aparajita" w:hAnsi="Aparajita" w:eastAsia="Aparajita" w:cs="Aparajita"/>
                <w:spacing w:val="-2"/>
              </w:rPr>
              <w:t xml:space="preserve">Indicateur synthétique de risque</w:t>
            </w:r>
          </w:p>
          <w:p/>
        </w:tc>
        <w:tc>
          <w:tcPr>
            <w:tcW w:w="8626" w:type="dxa"/>
            <w:gridSpan w:val="29"/>
          </w:tcPr>
          <w:p/>
        </w:tc>
      </w:tr>
      <w:tr>
        <w:trPr>
          <w:trHeight w:val="43"/>
        </w:trPr>
        <w:tc>
          <w:tcPr>
            <w:tcW w:w="2149" w:type="dxa"/>
            <w:gridSpan w:val="6"/>
            <w:vMerge/>
            <w:vAlign w:val="center"/>
            <w:shd w:val="clear" w:color="auto" w:fill="auto"/>
          </w:tcPr>
          <w:p/>
        </w:tc>
        <w:tc>
          <w:tcPr>
            <w:tcW w:w="430" w:type="dxa"/>
          </w:tcPr>
          <w:p/>
        </w:tc>
        <w:tc>
          <w:tcPr>
            <w:tcW w:w="1863" w:type="dxa"/>
            <w:gridSpan w:val="4"/>
            <w:vMerge w:val="restart"/>
            <w:vAlign w:val="bottom"/>
            <w:shd w:val="clear" w:color="auto" w:fill="auto"/>
          </w:tcPr>
          <w:p>
            <w:pPr>
              <w:rPr>
                <w:rFonts w:ascii="Aparajita" w:hAnsi="Aparajita" w:eastAsia="Aparajita" w:cs="Aparajita"/>
                <w:color w:val="000000"/>
                <w:sz w:val="16"/>
                <w:spacing w:val="-2"/>
              </w:rPr>
              <w:spacing w:line="229"/>
              <w:jc w:val="right"/>
            </w:pPr>
            <w:r>
              <w:rPr>
                <w:color w:val="000000"/>
                <w:sz w:val="16"/>
                <w:szCs w:val="16"/>
                <w:rFonts w:ascii="Aparajita" w:hAnsi="Aparajita" w:eastAsia="Aparajita" w:cs="Aparajita"/>
                <w:spacing w:val="-2"/>
              </w:rPr>
              <w:t xml:space="preserve">Risque le plus faible</w:t>
            </w:r>
          </w:p>
          <w:p/>
        </w:tc>
        <w:tc>
          <w:tcPr>
            <w:tcW w:w="2579" w:type="dxa"/>
            <w:gridSpan w:val="11"/>
          </w:tcPr>
          <w:p/>
        </w:tc>
        <w:tc>
          <w:tcPr>
            <w:tcW w:w="1862" w:type="dxa"/>
            <w:gridSpan w:val="5"/>
            <w:vMerge w:val="restart"/>
            <w:vAlign w:val="bottom"/>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Risque le plus élevé</w:t>
            </w:r>
          </w:p>
          <w:p/>
        </w:tc>
        <w:tc>
          <w:tcPr>
            <w:tcW w:w="1892" w:type="dxa"/>
            <w:gridSpan w:val="8"/>
          </w:tcPr>
          <w:p/>
        </w:tc>
      </w:tr>
      <w:tr>
        <w:trPr>
          <w:trHeight w:val="100"/>
        </w:trPr>
        <w:tc>
          <w:tcPr>
            <w:tcW w:w="2579" w:type="dxa"/>
            <w:gridSpan w:val="7"/>
          </w:tcPr>
          <w:p/>
        </w:tc>
        <w:tc>
          <w:tcPr>
            <w:tcW w:w="1863" w:type="dxa"/>
            <w:gridSpan w:val="4"/>
            <w:vMerge/>
            <w:vAlign w:val="bottom"/>
            <w:shd w:val="clear" w:color="auto" w:fill="auto"/>
          </w:tcPr>
          <w:p/>
        </w:tc>
        <w:tc>
          <w:tcPr>
            <w:tcW w:w="2579" w:type="dxa"/>
            <w:gridSpan w:val="11"/>
          </w:tcPr>
          <w:p/>
        </w:tc>
        <w:tc>
          <w:tcPr>
            <w:tcW w:w="1862" w:type="dxa"/>
            <w:gridSpan w:val="5"/>
            <w:vMerge/>
            <w:vAlign w:val="bottom"/>
            <w:shd w:val="clear" w:color="auto" w:fill="auto"/>
          </w:tcPr>
          <w:p/>
        </w:tc>
        <w:tc>
          <w:tcPr>
            <w:tcW w:w="1892" w:type="dxa"/>
            <w:gridSpan w:val="8"/>
          </w:tcPr>
          <w:p/>
        </w:tc>
      </w:tr>
      <w:tr>
        <w:trPr>
          <w:trHeight w:val="43"/>
        </w:trPr>
        <w:tc>
          <w:tcPr>
            <w:tcW w:w="2579" w:type="dxa"/>
            <w:gridSpan w:val="7"/>
          </w:tcPr>
          <w:p/>
        </w:tc>
        <w:tc>
          <w:tcPr>
            <w:tcW w:w="1863" w:type="dxa"/>
            <w:gridSpan w:val="4"/>
            <w:vMerge/>
            <w:vAlign w:val="bottom"/>
            <w:shd w:val="clear" w:color="auto" w:fill="auto"/>
          </w:tcPr>
          <w:p/>
        </w:tc>
        <w:tc>
          <w:tcPr>
            <w:tcW w:w="859" w:type="dxa"/>
            <w:gridSpan w:val="4"/>
            <w:vMerge w:val="restart"/>
            <w:tcBorders>
              <w:bottom w:val="single" w:sz="5" w:space="0" w:color="000000"/>
            </w:tcBorders>
          </w:tcPr>
          <w:p>
            <w:pPr/>
            <w:r>
              <w:rPr>
                <w:noProof/>
              </w:rPr>
              <w:drawing>
                <wp:inline distT="0" distB="0" distL="0" distR="0">
                  <wp:extent cx="548206" cy="91261"/>
                  <wp:effectExtent l="0" t="0" r="0" b="0"/>
                  <wp:docPr id="4" name="Picture 3" descr="Image000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3.jpeg"/>
                          <pic:cNvPicPr/>
                        </pic:nvPicPr>
                        <pic:blipFill>
                          <a:blip r:embed="rId7" cstate="print"/>
                          <a:stretch>
                            <a:fillRect/>
                          </a:stretch>
                        </pic:blipFill>
                        <pic:spPr>
                          <a:xfrm>
                            <a:off x="0" y="0"/>
                            <a:ext cx="548206" cy="91261"/>
                          </a:xfrm>
                          <a:prstGeom prst="rect">
                            <a:avLst/>
                          </a:prstGeom>
                        </pic:spPr>
                      </pic:pic>
                    </a:graphicData>
                  </a:graphic>
                </wp:inline>
              </w:drawing>
            </w:r>
          </w:p>
        </w:tc>
        <w:tc>
          <w:tcPr>
            <w:tcW w:w="860" w:type="dxa"/>
            <w:gridSpan w:val="4"/>
          </w:tcPr>
          <w:p/>
        </w:tc>
        <w:tc>
          <w:tcPr>
            <w:tcW w:w="860" w:type="dxa"/>
            <w:gridSpan w:val="3"/>
            <w:vMerge w:val="restart"/>
            <w:tcBorders>
              <w:bottom w:val="single" w:sz="5" w:space="0" w:color="000000"/>
            </w:tcBorders>
          </w:tcPr>
          <w:p>
            <w:pPr/>
            <w:r>
              <w:rPr>
                <w:noProof/>
              </w:rPr>
              <w:drawing>
                <wp:inline distT="0" distB="0" distL="0" distR="0">
                  <wp:extent cx="548844" cy="91261"/>
                  <wp:effectExtent l="0" t="0" r="0" b="0"/>
                  <wp:docPr id="5" name="Picture 4" descr="Image000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4.jpeg"/>
                          <pic:cNvPicPr/>
                        </pic:nvPicPr>
                        <pic:blipFill>
                          <a:blip r:embed="rId8" cstate="print"/>
                          <a:stretch>
                            <a:fillRect/>
                          </a:stretch>
                        </pic:blipFill>
                        <pic:spPr>
                          <a:xfrm>
                            <a:off x="0" y="0"/>
                            <a:ext cx="548844" cy="91261"/>
                          </a:xfrm>
                          <a:prstGeom prst="rect">
                            <a:avLst/>
                          </a:prstGeom>
                        </pic:spPr>
                      </pic:pic>
                    </a:graphicData>
                  </a:graphic>
                </wp:inline>
              </w:drawing>
            </w:r>
          </w:p>
        </w:tc>
        <w:tc>
          <w:tcPr>
            <w:tcW w:w="1862" w:type="dxa"/>
            <w:gridSpan w:val="5"/>
            <w:vMerge/>
            <w:vAlign w:val="bottom"/>
            <w:shd w:val="clear" w:color="auto" w:fill="auto"/>
          </w:tcPr>
          <w:p/>
        </w:tc>
        <w:tc>
          <w:tcPr>
            <w:tcW w:w="1892" w:type="dxa"/>
            <w:gridSpan w:val="8"/>
          </w:tcPr>
          <w:p/>
        </w:tc>
      </w:tr>
      <w:tr>
        <w:trPr>
          <w:trHeight w:val="100"/>
        </w:trPr>
        <w:tc>
          <w:tcPr>
            <w:tcW w:w="3725" w:type="dxa"/>
            <w:gridSpan w:val="9"/>
          </w:tcPr>
          <w:p/>
        </w:tc>
        <w:tc>
          <w:tcPr>
            <w:tcW w:w="717" w:type="dxa"/>
            <w:gridSpan w:val="2"/>
            <w:tcBorders>
              <w:bottom w:val="single" w:sz="5" w:space="0" w:color="000000"/>
            </w:tcBorders>
          </w:tcPr>
          <w:p/>
        </w:tc>
        <w:tc>
          <w:tcPr>
            <w:tcW w:w="859" w:type="dxa"/>
            <w:gridSpan w:val="4"/>
            <w:vMerge/>
            <w:tcBorders>
              <w:bottom w:val="single" w:sz="5" w:space="0" w:color="000000"/>
            </w:tcBorders>
          </w:tcPr>
          <w:p/>
        </w:tc>
        <w:tc>
          <w:tcPr>
            <w:tcW w:w="860" w:type="dxa"/>
            <w:gridSpan w:val="4"/>
            <w:tcBorders>
              <w:bottom w:val="single" w:sz="5" w:space="0" w:color="000000"/>
            </w:tcBorders>
          </w:tcPr>
          <w:p/>
        </w:tc>
        <w:tc>
          <w:tcPr>
            <w:tcW w:w="860" w:type="dxa"/>
            <w:gridSpan w:val="3"/>
            <w:vMerge/>
            <w:tcBorders>
              <w:bottom w:val="single" w:sz="5" w:space="0" w:color="000000"/>
            </w:tcBorders>
          </w:tcPr>
          <w:p/>
        </w:tc>
        <w:tc>
          <w:tcPr>
            <w:tcW w:w="716" w:type="dxa"/>
            <w:gridSpan w:val="2"/>
            <w:tcBorders>
              <w:bottom w:val="single" w:sz="5" w:space="0" w:color="000000"/>
            </w:tcBorders>
          </w:tcPr>
          <w:p/>
        </w:tc>
        <w:tc>
          <w:tcPr>
            <w:tcW w:w="3038" w:type="dxa"/>
            <w:gridSpan w:val="11"/>
          </w:tcPr>
          <w:p/>
        </w:tc>
      </w:tr>
      <w:tr>
        <w:trPr>
          <w:trHeight w:val="287"/>
        </w:trPr>
        <w:tc>
          <w:tcPr>
            <w:tcW w:w="3725" w:type="dxa"/>
            <w:gridSpan w:val="9"/>
            <w:tcBorders>
              <w:right w:val="single" w:sz="5" w:space="0" w:color="000000"/>
            </w:tcBorders>
          </w:tcPr>
          <w:p/>
        </w:tc>
        <w:tc>
          <w:tcPr>
            <w:tcW w:w="573" w:type="dxa"/>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 1 </w:t>
            </w:r>
          </w:p>
          <w:p/>
        </w:tc>
        <w:tc>
          <w:tcPr>
            <w:tcW w:w="574" w:type="dxa"/>
            <w:gridSpan w:val="2"/>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 2 </w:t>
            </w:r>
          </w:p>
          <w:p/>
        </w:tc>
        <w:tc>
          <w:tcPr>
            <w:tcW w:w="573" w:type="dxa"/>
            <w:gridSpan w:val="4"/>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 3 </w:t>
            </w:r>
          </w:p>
          <w:p/>
        </w:tc>
        <w:tc>
          <w:tcPr>
            <w:tcW w:w="573" w:type="dxa"/>
            <w:gridSpan w:val="2"/>
            <w:vAlign w:val="center"/>
            <w:tcBorders>
              <w:top w:val="single" w:sz="5" w:space="0" w:color="000000"/>
              <w:left w:val="single" w:sz="5" w:space="0" w:color="000000"/>
              <w:bottom w:val="single" w:sz="5" w:space="0" w:color="000000"/>
              <w:right w:val="single" w:sz="5" w:space="0" w:color="000000"/>
            </w:tcBorders>
            <w:shd w:val="clear" w:color="auto" w:fill="0070C0"/>
          </w:tcPr>
          <w:p>
            <w:pPr>
              <w:rPr>
                <w:rFonts w:ascii="Arial" w:hAnsi="Arial" w:eastAsia="Arial" w:cs="Arial"/>
                <w:color w:val="000000"/>
                <w:sz w:val="16"/>
                <w:spacing w:val="-2"/>
              </w:rPr>
              <w:spacing w:line="229"/>
              <w:jc w:val="center"/>
            </w:pPr>
            <w:r>
              <w:rPr>
                <w:color w:val="000000"/>
                <w:sz w:val="16"/>
                <w:szCs w:val="16"/>
                <w:rFonts w:ascii="Arial" w:hAnsi="Arial" w:eastAsia="Arial" w:cs="Arial"/>
                <w:spacing w:val="-2"/>
              </w:rPr>
              <w:t xml:space="preserve"> 4 </w:t>
            </w:r>
          </w:p>
          <w:p/>
        </w:tc>
        <w:tc>
          <w:tcPr>
            <w:tcW w:w="573" w:type="dxa"/>
            <w:gridSpan w:val="2"/>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5 </w:t>
            </w:r>
            <w:r>
              <w:rPr>
                <w:b/>
                <w:color w:val="000000"/>
                <w:sz w:val="16"/>
                <w:szCs w:val="16"/>
                <w:rFonts w:ascii="Aparajita" w:hAnsi="Aparajita" w:eastAsia="Aparajita" w:cs="Aparajita"/>
                <w:spacing w:val="-2"/>
              </w:rPr>
              <w:t xml:space="preserve"/>
            </w:r>
          </w:p>
          <w:p/>
        </w:tc>
        <w:tc>
          <w:tcPr>
            <w:tcW w:w="573" w:type="dxa"/>
            <w:gridSpan w:val="3"/>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 6 </w:t>
            </w:r>
          </w:p>
          <w:p/>
        </w:tc>
        <w:tc>
          <w:tcPr>
            <w:tcW w:w="573" w:type="dxa"/>
            <w:vAlign w:val="center"/>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 7 </w:t>
            </w:r>
          </w:p>
          <w:p/>
        </w:tc>
        <w:tc>
          <w:tcPr>
            <w:tcW w:w="3038" w:type="dxa"/>
            <w:gridSpan w:val="11"/>
            <w:tcBorders>
              <w:left w:val="single" w:sz="5" w:space="0" w:color="000000"/>
            </w:tcBorders>
          </w:tcPr>
          <w:p/>
        </w:tc>
      </w:tr>
      <w:tr>
        <w:trPr>
          <w:trHeight w:val="143"/>
        </w:trPr>
        <w:tc>
          <w:tcPr>
            <w:tcW w:w="287" w:type="dxa"/>
            <w:gridSpan w:val="3"/>
            <w:vMerge w:val="restart"/>
          </w:tcPr>
          <w:p>
            <w:pPr/>
            <w:r>
              <w:rPr>
                <w:noProof/>
              </w:rPr>
              <w:drawing>
                <wp:inline distT="0" distB="0" distL="0" distR="0">
                  <wp:extent cx="183161" cy="182523"/>
                  <wp:effectExtent l="0" t="0" r="0" b="0"/>
                  <wp:docPr id="6" name="Picture 5" descr="Image000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5.jpeg"/>
                          <pic:cNvPicPr/>
                        </pic:nvPicPr>
                        <pic:blipFill>
                          <a:blip r:embed="rId9" cstate="print"/>
                          <a:stretch>
                            <a:fillRect/>
                          </a:stretch>
                        </pic:blipFill>
                        <pic:spPr>
                          <a:xfrm>
                            <a:off x="0" y="0"/>
                            <a:ext cx="183161" cy="182523"/>
                          </a:xfrm>
                          <a:prstGeom prst="rect">
                            <a:avLst/>
                          </a:prstGeom>
                        </pic:spPr>
                      </pic:pic>
                    </a:graphicData>
                  </a:graphic>
                </wp:inline>
              </w:drawing>
            </w:r>
          </w:p>
        </w:tc>
        <w:tc>
          <w:tcPr>
            <w:tcW w:w="3438" w:type="dxa"/>
            <w:gridSpan w:val="6"/>
          </w:tcPr>
          <w:p/>
        </w:tc>
        <w:tc>
          <w:tcPr>
            <w:tcW w:w="4012" w:type="dxa"/>
            <w:gridSpan w:val="15"/>
            <w:tcBorders>
              <w:top w:val="single" w:sz="5" w:space="0" w:color="000000"/>
            </w:tcBorders>
          </w:tcPr>
          <w:p/>
        </w:tc>
        <w:tc>
          <w:tcPr>
            <w:tcW w:w="3038" w:type="dxa"/>
            <w:gridSpan w:val="11"/>
          </w:tcPr>
          <w:p/>
        </w:tc>
      </w:tr>
      <w:tr>
        <w:trPr>
          <w:trHeight w:val="143"/>
        </w:trPr>
        <w:tc>
          <w:tcPr>
            <w:tcW w:w="287" w:type="dxa"/>
            <w:gridSpan w:val="3"/>
            <w:vMerge/>
          </w:tcPr>
          <w:p/>
        </w:tc>
        <w:tc>
          <w:tcPr>
            <w:tcW w:w="10459" w:type="dxa"/>
            <w:gridSpan w:val="31"/>
            <w:vMerge w:val="restart"/>
            <w:shd w:val="clear" w:color="auto" w:fill="auto"/>
          </w:tcPr>
          <w:p>
            <w:pPr>
              <w:rPr>
                <w:rFonts w:ascii="Arial" w:hAnsi="Arial" w:eastAsia="Arial" w:cs="Arial"/>
                <w:color w:val="000000"/>
                <w:sz w:val="16"/>
                <w:spacing w:val="-2"/>
              </w:rPr>
              <w:spacing w:line="229"/>
              <w:jc w:val="both"/>
            </w:pPr>
            <w:r>
              <w:rPr>
                <w:color w:val="000000"/>
                <w:sz w:val="16"/>
                <w:szCs w:val="16"/>
                <w:rFonts w:ascii="Aparajita" w:hAnsi="Aparajita" w:eastAsia="Aparajita" w:cs="Aparajita"/>
                <w:spacing w:val="-2"/>
              </w:rPr>
              <w:t xml:space="preserve">L’indicateur de risque part de l’hypothèse, que vous conservez le produit 5 ans. </w:t>
            </w:r>
            <w:r>
              <w:rPr>
                <w:color w:val="000000"/>
                <w:sz w:val="16"/>
                <w:szCs w:val="16"/>
                <w:rFonts w:ascii="Aparajita" w:hAnsi="Aparajita" w:eastAsia="Aparajita" w:cs="Aparajita"/>
                <w:spacing w:val="-2"/>
              </w:rPr>
              <w:t xml:space="preserve">Le risque réel peut être très différent si vous optez pour une sortie avant échéance et vous pourriez obtenir moins en retour. L’indicateur de risque permet d’apprécier le niveau de risque de ce produit par rapport à d’autres. Il indique la probabilité que ce produit enregistre des pertes en cas de mouvements sur les marchés ou d'une impossibilité de notre part de vous payer.</w:t>
            </w:r>
          </w:p>
          <w:p/>
        </w:tc>
        <w:tc>
          <w:tcPr>
            <w:tcW w:w="29" w:type="dxa"/>
          </w:tcPr>
          <w:p/>
        </w:tc>
      </w:tr>
      <w:tr>
        <w:trPr>
          <w:trHeight w:val="402"/>
        </w:trPr>
        <w:tc>
          <w:tcPr>
            <w:tcW w:w="287" w:type="dxa"/>
            <w:gridSpan w:val="3"/>
          </w:tcPr>
          <w:p/>
        </w:tc>
        <w:tc>
          <w:tcPr>
            <w:tcW w:w="10459" w:type="dxa"/>
            <w:gridSpan w:val="31"/>
            <w:vMerge/>
            <w:shd w:val="clear" w:color="auto" w:fill="auto"/>
          </w:tcPr>
          <w:p/>
        </w:tc>
        <w:tc>
          <w:tcPr>
            <w:tcW w:w="29" w:type="dxa"/>
          </w:tcPr>
          <w:p/>
        </w:tc>
      </w:tr>
      <w:tr>
        <w:trPr>
          <w:trHeight w:val="143"/>
        </w:trPr>
        <w:tc>
          <w:tcPr>
            <w:tcW w:w="10775" w:type="dxa"/>
            <w:gridSpan w:val="35"/>
          </w:tcPr>
          <w:p/>
        </w:tc>
      </w:tr>
      <w:tr>
        <w:trPr>
          <w:trHeight w:val="1289"/>
        </w:trPr>
        <w:tc>
          <w:tcPr>
            <w:tcW w:w="10746" w:type="dxa"/>
            <w:gridSpan w:val="34"/>
            <w:shd w:val="clear" w:color="auto" w:fill="auto"/>
          </w:tcPr>
          <w:p>
            <w:pPr>
              <w:rPr>
                <w:rFonts w:ascii="Arial" w:hAnsi="Arial" w:eastAsia="Arial" w:cs="Arial"/>
                <w:color w:val="000000"/>
                <w:sz w:val="16"/>
                <w:spacing w:val="-2"/>
              </w:rPr>
              <w:spacing w:line="229"/>
            </w:pPr>
            <w:r>
              <w:rPr>
                <w:color w:val="000000"/>
                <w:sz w:val="16"/>
                <w:szCs w:val="16"/>
                <w:rFonts w:ascii="Aparajita" w:hAnsi="Aparajita" w:eastAsia="Aparajita" w:cs="Aparajita"/>
                <w:spacing w:val="-2"/>
              </w:rPr>
              <w:t xml:space="preserve">Nous avons classé le Fonds dans la classe de risque </w:t>
            </w:r>
            <w:r>
              <w:rPr>
                <w:b/>
                <w:color w:val="000000"/>
                <w:sz w:val="16"/>
                <w:szCs w:val="16"/>
                <w:rFonts w:ascii="Aparajita" w:hAnsi="Aparajita" w:eastAsia="Aparajita" w:cs="Aparajita"/>
                <w:spacing w:val="-2"/>
              </w:rPr>
              <w:t xml:space="preserve">4</w:t>
            </w:r>
            <w:r>
              <w:rPr>
                <w:color w:val="000000"/>
                <w:sz w:val="16"/>
                <w:szCs w:val="16"/>
                <w:rFonts w:ascii="Aparajita" w:hAnsi="Aparajita" w:eastAsia="Aparajita" w:cs="Aparajita"/>
                <w:spacing w:val="-2"/>
              </w:rPr>
              <w:t xml:space="preserve"> qui est une classe de risque</w:t>
            </w:r>
            <w:r>
              <w:rPr>
                <w:b/>
                <w:color w:val="000000"/>
                <w:sz w:val="16"/>
                <w:szCs w:val="16"/>
                <w:rFonts w:ascii="Aparajita" w:hAnsi="Aparajita" w:eastAsia="Aparajita" w:cs="Aparajita"/>
                <w:spacing w:val="-2"/>
              </w:rPr>
              <w:t xml:space="preserve">  moyenne </w:t>
            </w:r>
            <w:r>
              <w:rPr>
                <w:color w:val="000000"/>
                <w:sz w:val="16"/>
                <w:szCs w:val="16"/>
                <w:rFonts w:ascii="Aparajita" w:hAnsi="Aparajita" w:eastAsia="Aparajita" w:cs="Aparajita"/>
                <w:spacing w:val="-2"/>
              </w:rPr>
              <w:t xml:space="preserve">. Autrement dit, les pertes potentielles liées aux futurs résultats du produit se situent à un niveau </w:t>
            </w:r>
            <w:r>
              <w:rPr>
                <w:b/>
                <w:color w:val="000000"/>
                <w:sz w:val="16"/>
                <w:szCs w:val="16"/>
                <w:rFonts w:ascii="Aparajita" w:hAnsi="Aparajita" w:eastAsia="Aparajita" w:cs="Aparajita"/>
                <w:spacing w:val="-2"/>
              </w:rPr>
              <w:t xml:space="preserve">moyen </w:t>
            </w:r>
            <w:r>
              <w:rPr>
                <w:color w:val="000000"/>
                <w:sz w:val="16"/>
                <w:szCs w:val="16"/>
                <w:rFonts w:ascii="Aparajita" w:hAnsi="Aparajita" w:eastAsia="Aparajita" w:cs="Aparajita"/>
                <w:spacing w:val="-2"/>
              </w:rPr>
              <w:t xml:space="preserve">et, si la situation venait à se détériorer sur les marchés, </w:t>
            </w:r>
            <w:r>
              <w:rPr>
                <w:color w:val="000000"/>
                <w:sz w:val="16"/>
                <w:szCs w:val="16"/>
                <w:rFonts w:ascii="Aparajita" w:hAnsi="Aparajita" w:eastAsia="Aparajita" w:cs="Aparajita"/>
                <w:spacing w:val="-2"/>
              </w:rPr>
              <w:t xml:space="preserve">il est possible </w:t>
            </w:r>
            <w:r>
              <w:rPr>
                <w:color w:val="000000"/>
                <w:sz w:val="16"/>
                <w:szCs w:val="16"/>
                <w:rFonts w:ascii="Aparajita" w:hAnsi="Aparajita" w:eastAsia="Aparajita" w:cs="Aparajita"/>
                <w:spacing w:val="-2"/>
              </w:rPr>
              <w:t xml:space="preserve">que notre capacité à vous payer en soit affectée. </w:t>
            </w:r>
            <w:r>
              <w:rPr>
                <w:color w:val="A5A5A5"/>
                <w:sz w:val="16"/>
                <w:szCs w:val="16"/>
                <w:rFonts w:ascii="Aparajita" w:hAnsi="Aparajita" w:eastAsia="Aparajita" w:cs="Aparajita"/>
                <w:spacing w:val="-2"/>
              </w:rPr>
              <w:t xml:space="preserve">(Si le produit est considéré comme présentant un risque de liquidité matériellement pertinent) </w:t>
            </w:r>
            <w:r>
              <w:rPr>
                <w:color w:val="000000"/>
                <w:sz w:val="16"/>
                <w:szCs w:val="16"/>
                <w:rFonts w:ascii="Aparajita" w:hAnsi="Aparajita" w:eastAsia="Aparajita" w:cs="Aparajita"/>
                <w:spacing w:val="-2"/>
              </w:rPr>
              <w:t xml:space="preserve">Vous risquez de ne pas pouvoir vendre facilement votre produit, ou de devoir le vendre à un prix qui influera sensiblement sur le montant que vous percevrez en retour. </w:t>
            </w:r>
          </w:p>
          <w:p>
            <w:pPr>
              <w:rPr>
                <w:rFonts w:ascii="Arial" w:hAnsi="Arial" w:eastAsia="Arial" w:cs="Arial"/>
                <w:color w:val="000000"/>
                <w:sz w:val="16"/>
                <w:spacing w:val="-2"/>
              </w:rPr>
              <w:spacing w:line="229"/>
            </w:pPr>
          </w:p>
          <w:p>
            <w:pPr>
              <w:rPr>
                <w:rFonts w:ascii="Arial" w:hAnsi="Arial" w:eastAsia="Arial" w:cs="Arial"/>
                <w:color w:val="000000"/>
                <w:sz w:val="16"/>
                <w:spacing w:val="-2"/>
              </w:rPr>
              <w:spacing w:line="229"/>
            </w:pPr>
            <w:r>
              <w:rPr>
                <w:color w:val="000000"/>
                <w:sz w:val="16"/>
                <w:szCs w:val="16"/>
                <w:rFonts w:ascii="Aparajita" w:hAnsi="Aparajita" w:eastAsia="Aparajita" w:cs="Aparajita"/>
                <w:spacing w:val="-2"/>
              </w:rPr>
              <w:t xml:space="preserve">Ce Produit ne prévoyant pas de protection contre les aléas de marché, vous pourriez perdre tout ou partie de votre investissement. </w:t>
            </w:r>
          </w:p>
          <w:p/>
        </w:tc>
        <w:tc>
          <w:tcPr>
            <w:tcW w:w="29" w:type="dxa"/>
          </w:tcPr>
          <w:p/>
        </w:tc>
      </w:tr>
      <w:tr>
        <w:trPr>
          <w:trHeight w:val="1276"/>
        </w:trPr>
        <w:tc>
          <w:tcPr>
            <w:tcW w:w="10746" w:type="dxa"/>
            <w:gridSpan w:val="34"/>
            <w:shd w:val="clear" w:color="auto" w:fill="auto"/>
          </w:tcPr>
          <w:p>
            <w:pPr>
              <w:rPr>
                <w:rFonts w:ascii="Aparajita" w:hAnsi="Aparajita" w:eastAsia="Aparajita" w:cs="Aparajita"/>
                <w:color w:val="000000"/>
                <w:sz w:val="16"/>
                <w:spacing w:val="-2"/>
              </w:rPr>
              <w:spacing w:line="229"/>
            </w:pPr>
            <w:r>
              <w:rPr>
                <w:b/>
                <w:u w:val="single"/>
                <w:color w:val="000000"/>
                <w:sz w:val="16"/>
                <w:szCs w:val="16"/>
                <w:rFonts w:ascii="Aparajita" w:hAnsi="Aparajita" w:eastAsia="Aparajita" w:cs="Aparajita"/>
                <w:spacing w:val="-2"/>
              </w:rPr>
              <w:t xml:space="preserve">Scénarios de performance :</w:t>
            </w:r>
          </w:p>
          <w:p>
            <w:pPr>
              <w:rPr>
                <w:rFonts w:ascii="Aparajita" w:hAnsi="Aparajita" w:eastAsia="Aparajita" w:cs="Aparajita"/>
                <w:color w:val="000000"/>
                <w:sz w:val="16"/>
                <w:spacing w:val="-2"/>
              </w:rPr>
              <w:spacing w:line="229"/>
            </w:pPr>
          </w:p>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Les chiffres indiqués comprennent tous les coûts du produit lui-même mais pas nécessairement tous les frais dus à votre conseiller ou distributeur. Ces chiffres ne tiennent pas compte de votre situation fiscale personnelle, qui peut également influer sur les montants que vous recevrez.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Ce que vous obtiendrez de ce produit dépend des performances futures du marché. L’évolution future du marché est aléatoire et ne peut être prédite avec précision. Les scénarios défavorable, intermédiaire et favorable présentés représentent des exemples utilisant les meilleure et pire performances, ainsi que la performance moyenne du produit au cours des 10 dernières années. Les marchés pourraient évoluer très différemment à l’avenir. Le scénario de tensions montre ce que vous pourriez obtenir dans des situations de marché extrêmes.</w:t>
            </w:r>
            <w:r>
              <w:rPr>
                <w:color w:val="000000"/>
                <w:sz w:val="16"/>
                <w:szCs w:val="16"/>
                <w:rFonts w:ascii="Aparajita" w:hAnsi="Aparajita" w:eastAsia="Aparajita" w:cs="Aparajita"/>
                <w:spacing w:val="-2"/>
              </w:rPr>
              <w:t xml:space="preserve"/>
            </w:r>
          </w:p>
          <w:p/>
        </w:tc>
        <w:tc>
          <w:tcPr>
            <w:tcW w:w="29" w:type="dxa"/>
          </w:tcPr>
          <w:p/>
        </w:tc>
      </w:tr>
      <w:tr>
        <w:trPr>
          <w:trHeight w:val="544"/>
        </w:trPr>
        <w:tc>
          <w:tcPr>
            <w:tcW w:w="5015" w:type="dxa"/>
            <w:gridSpan w:val="13"/>
            <w:vAlign w:val="center"/>
            <w:shd w:val="clear" w:color="auto" w:fill="auto"/>
          </w:tcPr>
          <w:p>
            <w:pPr>
              <w:rPr>
                <w:rFonts w:ascii="Aparajita" w:hAnsi="Aparajita" w:eastAsia="Aparajita" w:cs="Aparajita"/>
                <w:color w:val="000000"/>
                <w:sz w:val="16"/>
                <w:spacing w:val="-2"/>
              </w:rPr>
              <w:spacing w:line="229"/>
            </w:pPr>
          </w:p>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Période de détention recommandée :</w:t>
            </w:r>
            <w:r>
              <w:rPr>
                <w:color w:val="000000"/>
                <w:sz w:val="16"/>
                <w:szCs w:val="16"/>
                <w:rFonts w:ascii="Aparajita" w:hAnsi="Aparajita" w:eastAsia="Aparajita" w:cs="Aparajita"/>
                <w:spacing w:val="-2"/>
              </w:rPr>
              <w:t xml:space="preserve"> </w:t>
            </w:r>
            <w:r>
              <w:rPr>
                <w:b/>
                <w:color w:val="000000"/>
                <w:sz w:val="16"/>
                <w:szCs w:val="16"/>
                <w:rFonts w:ascii="Aparajita" w:hAnsi="Aparajita" w:eastAsia="Aparajita" w:cs="Aparajita"/>
                <w:spacing w:val="-2"/>
              </w:rPr>
              <w:t xml:space="preserve">5 ans </w:t>
            </w:r>
          </w:p>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Exemple d’investissement : </w:t>
            </w:r>
            <w:r>
              <w:rPr>
                <w:b/>
                <w:color w:val="000000"/>
                <w:sz w:val="16"/>
                <w:szCs w:val="16"/>
                <w:rFonts w:ascii="Aparajita" w:hAnsi="Aparajita" w:eastAsia="Aparajita" w:cs="Aparajita"/>
                <w:spacing w:val="-2"/>
              </w:rPr>
              <w:t xml:space="preserve">10.000 €</w:t>
            </w:r>
          </w:p>
          <w:p/>
        </w:tc>
        <w:tc>
          <w:tcPr>
            <w:tcW w:w="5731" w:type="dxa"/>
            <w:gridSpan w:val="21"/>
            <w:shd w:val="clear" w:color="auto" w:fill="auto"/>
          </w:tcPr>
          <w:p/>
        </w:tc>
        <w:tc>
          <w:tcPr>
            <w:tcW w:w="29" w:type="dxa"/>
          </w:tcPr>
          <w:p/>
        </w:tc>
      </w:tr>
      <w:tr>
        <w:trPr>
          <w:trHeight w:val="186"/>
        </w:trPr>
        <w:tc>
          <w:tcPr>
            <w:tcW w:w="2149" w:type="dxa"/>
            <w:gridSpan w:val="6"/>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Scénarios : </w:t>
            </w:r>
          </w:p>
          <w:p/>
        </w:tc>
        <w:tc>
          <w:tcPr>
            <w:tcW w:w="2866" w:type="dxa"/>
            <w:gridSpan w:val="7"/>
            <w:vAlign w:val="center"/>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006" w:type="dxa"/>
            <w:gridSpan w:val="9"/>
            <w:vAlign w:val="center"/>
            <w:shd w:val="clear" w:color="auto" w:fill="auto"/>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Si vous sortez après </w:t>
            </w:r>
            <w:r>
              <w:rPr>
                <w:b/>
                <w:color w:val="000000"/>
                <w:sz w:val="16"/>
                <w:szCs w:val="16"/>
                <w:rFonts w:ascii="Aparajita" w:hAnsi="Aparajita" w:eastAsia="Aparajita" w:cs="Aparajita"/>
                <w:spacing w:val="-2"/>
              </w:rPr>
              <w:t xml:space="preserve">1 an</w:t>
            </w:r>
            <w:r>
              <w:rPr>
                <w:color w:val="000000"/>
                <w:sz w:val="16"/>
                <w:szCs w:val="16"/>
                <w:rFonts w:ascii="Aparajita" w:hAnsi="Aparajita" w:eastAsia="Aparajita" w:cs="Aparajita"/>
                <w:spacing w:val="-2"/>
              </w:rPr>
              <w:t xml:space="preserve"/>
            </w:r>
          </w:p>
          <w:p/>
        </w:tc>
        <w:tc>
          <w:tcPr>
            <w:tcW w:w="2579" w:type="dxa"/>
            <w:gridSpan w:val="8"/>
            <w:vMerge w:val="restart"/>
            <w:vAlign w:val="center"/>
            <w:shd w:val="clear" w:color="auto" w:fill="auto"/>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Si vous sortez après </w:t>
            </w:r>
            <w:r>
              <w:rPr>
                <w:b/>
                <w:color w:val="000000"/>
                <w:sz w:val="16"/>
                <w:szCs w:val="16"/>
                <w:rFonts w:ascii="Aparajita" w:hAnsi="Aparajita" w:eastAsia="Aparajita" w:cs="Aparajita"/>
                <w:spacing w:val="-2"/>
              </w:rPr>
              <w:t xml:space="preserve">5 ans </w:t>
            </w:r>
          </w:p>
          <w:p>
            <w:pPr>
              <w:rPr>
                <w:rFonts w:ascii="Aparajita" w:hAnsi="Aparajita" w:eastAsia="Aparajita" w:cs="Aparajita"/>
                <w:color w:val="000000"/>
                <w:sz w:val="16"/>
                <w:spacing w:val="-2"/>
              </w:rPr>
              <w:spacing w:line="229"/>
              <w:jc w:val="center"/>
            </w:pPr>
            <w:r>
              <w:rPr>
                <w:i/>
                <w:color w:val="000000"/>
                <w:sz w:val="16"/>
                <w:szCs w:val="16"/>
                <w:rFonts w:ascii="Aparajita" w:hAnsi="Aparajita" w:eastAsia="Aparajita" w:cs="Aparajita"/>
                <w:spacing w:val="-2"/>
              </w:rPr>
              <w:t xml:space="preserve">(période de détention recommandée)</w:t>
            </w:r>
          </w:p>
          <w:p/>
        </w:tc>
        <w:tc>
          <w:tcPr>
            <w:tcW w:w="1146" w:type="dxa"/>
            <w:gridSpan w:val="4"/>
            <w:vMerge w:val="restart"/>
            <w:shd w:val="clear" w:color="auto" w:fill="auto"/>
          </w:tcPr>
          <w:p/>
        </w:tc>
        <w:tc>
          <w:tcPr>
            <w:tcW w:w="29" w:type="dxa"/>
          </w:tcPr>
          <w:p/>
        </w:tc>
      </w:tr>
      <w:tr>
        <w:trPr>
          <w:trHeight w:val="187"/>
        </w:trPr>
        <w:tc>
          <w:tcPr>
            <w:tcW w:w="7021" w:type="dxa"/>
            <w:gridSpan w:val="22"/>
            <w:shd w:val="clear" w:color="auto" w:fill="auto"/>
          </w:tcPr>
          <w:p/>
        </w:tc>
        <w:tc>
          <w:tcPr>
            <w:tcW w:w="2579" w:type="dxa"/>
            <w:gridSpan w:val="8"/>
            <w:vMerge/>
            <w:vAlign w:val="center"/>
            <w:shd w:val="clear" w:color="auto" w:fill="auto"/>
          </w:tcPr>
          <w:p/>
        </w:tc>
        <w:tc>
          <w:tcPr>
            <w:tcW w:w="1146" w:type="dxa"/>
            <w:gridSpan w:val="4"/>
            <w:vMerge/>
            <w:shd w:val="clear" w:color="auto" w:fill="auto"/>
          </w:tcPr>
          <w:p/>
        </w:tc>
        <w:tc>
          <w:tcPr>
            <w:tcW w:w="29" w:type="dxa"/>
          </w:tcPr>
          <w:p/>
        </w:tc>
      </w:tr>
      <w:tr>
        <w:trPr>
          <w:trHeight w:val="186"/>
        </w:trPr>
        <w:tc>
          <w:tcPr>
            <w:tcW w:w="10746" w:type="dxa"/>
            <w:gridSpan w:val="34"/>
            <w:shd w:val="clear" w:color="auto" w:fill="auto"/>
          </w:tcPr>
          <w:p>
            <w:pPr>
              <w:rPr>
                <w:rFonts w:ascii="Arial" w:hAnsi="Arial" w:eastAsia="Arial" w:cs="Arial"/>
                <w:color w:val="000000"/>
                <w:sz w:val="16"/>
                <w:spacing w:val="-2"/>
              </w:rPr>
              <w:spacing w:line="229"/>
            </w:pPr>
            <w:r>
              <w:rPr>
                <w:color w:val="000000"/>
                <w:sz w:val="16"/>
                <w:szCs w:val="16"/>
                <w:rFonts w:ascii="Aparajita" w:hAnsi="Aparajita" w:eastAsia="Aparajita" w:cs="Aparajita"/>
                <w:spacing w:val="-2"/>
              </w:rPr>
              <w:t xml:space="preserve">Minimum : </w:t>
            </w:r>
            <w:r>
              <w:rPr>
                <w:b/>
                <w:color w:val="000000"/>
                <w:sz w:val="16"/>
                <w:szCs w:val="16"/>
                <w:rFonts w:ascii="Aparajita" w:hAnsi="Aparajita" w:eastAsia="Aparajita" w:cs="Aparajita"/>
                <w:spacing w:val="-2"/>
              </w:rPr>
              <w:t xml:space="preserve">Il n’existe aucun rendement minimal garanti. Vous pourriez perdre tout ou une partie de votre investissement.</w:t>
            </w:r>
          </w:p>
          <w:p/>
        </w:tc>
        <w:tc>
          <w:tcPr>
            <w:tcW w:w="29" w:type="dxa"/>
          </w:tcPr>
          <w:p/>
        </w:tc>
      </w:tr>
      <w:tr>
        <w:trPr>
          <w:trHeight w:val="243"/>
        </w:trPr>
        <w:tc>
          <w:tcPr>
            <w:tcW w:w="10746" w:type="dxa"/>
            <w:gridSpan w:val="34"/>
            <w:shd w:val="clear" w:color="auto" w:fill="auto"/>
          </w:tcPr>
          <w:p/>
        </w:tc>
        <w:tc>
          <w:tcPr>
            <w:tcW w:w="29" w:type="dxa"/>
          </w:tcPr>
          <w:p/>
        </w:tc>
      </w:tr>
      <w:tr>
        <w:trPr>
          <w:trHeight w:val="430"/>
        </w:trPr>
        <w:tc>
          <w:tcPr>
            <w:tcW w:w="2149" w:type="dxa"/>
            <w:gridSpan w:val="6"/>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 de tensions</w:t>
            </w:r>
          </w:p>
          <w:p/>
        </w:tc>
        <w:tc>
          <w:tcPr>
            <w:tcW w:w="2866" w:type="dxa"/>
            <w:gridSpan w:val="7"/>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Ce que vous pourriez obtenir après déduction des coûts</w:t>
            </w:r>
          </w:p>
          <w:p/>
        </w:tc>
        <w:tc>
          <w:tcPr>
            <w:tcW w:w="2149" w:type="dxa"/>
            <w:gridSpan w:val="10"/>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2661 €</w:t>
            </w:r>
          </w:p>
          <w:p/>
        </w:tc>
        <w:tc>
          <w:tcPr>
            <w:tcW w:w="1863" w:type="dxa"/>
            <w:gridSpan w:val="5"/>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2760 €</w:t>
            </w:r>
          </w:p>
          <w:p/>
        </w:tc>
        <w:tc>
          <w:tcPr>
            <w:tcW w:w="1719" w:type="dxa"/>
            <w:gridSpan w:val="6"/>
            <w:vMerge w:val="restart"/>
            <w:shd w:val="clear" w:color="auto" w:fill="auto"/>
          </w:tcPr>
          <w:p>
            <w:pPr>
              <w:rPr>
                <w:rFonts w:ascii="Arial" w:hAnsi="Arial" w:eastAsia="Arial" w:cs="Arial"/>
                <w:color w:val="000000"/>
                <w:sz w:val="16"/>
                <w:spacing w:val="-2"/>
              </w:rPr>
              <w:spacing w:line="229"/>
              <w:jc w:val="center"/>
            </w:pPr>
            <w:r>
              <w:rPr>
                <w:color w:val="000000"/>
                <w:sz w:val="16"/>
                <w:szCs w:val="16"/>
                <w:rFonts w:ascii="Aparajita" w:hAnsi="Aparajita" w:eastAsia="Aparajita" w:cs="Aparajita"/>
                <w:spacing w:val="-2"/>
              </w:rPr>
              <w:t xml:space="preserve">Le scénario défavorable s’est déroulé durant la période entre 03/2015 et 03/2020.</w:t>
            </w:r>
            <w:r>
              <w:rPr>
                <w:color w:val="000000"/>
                <w:sz w:val="16"/>
                <w:szCs w:val="16"/>
                <w:rFonts w:ascii="Arial" w:hAnsi="Arial" w:eastAsia="Arial" w:cs="Arial"/>
                <w:spacing w:val="-2"/>
              </w:rPr>
              <w:t xml:space="preserve"/>
            </w:r>
          </w:p>
          <w:p/>
        </w:tc>
        <w:tc>
          <w:tcPr>
            <w:tcW w:w="29" w:type="dxa"/>
          </w:tcPr>
          <w:p/>
        </w:tc>
      </w:tr>
      <w:tr>
        <w:trPr>
          <w:trHeight w:val="287"/>
        </w:trPr>
        <w:tc>
          <w:tcPr>
            <w:tcW w:w="2149" w:type="dxa"/>
            <w:gridSpan w:val="6"/>
            <w:vAlign w:val="center"/>
            <w:shd w:val="clear" w:color="auto" w:fill="DDDDDD"/>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866" w:type="dxa"/>
            <w:gridSpan w:val="7"/>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Rendement annuel moyen</w:t>
            </w:r>
          </w:p>
          <w:p/>
        </w:tc>
        <w:tc>
          <w:tcPr>
            <w:tcW w:w="2149" w:type="dxa"/>
            <w:gridSpan w:val="10"/>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-73,39 %</w:t>
            </w:r>
          </w:p>
          <w:p/>
        </w:tc>
        <w:tc>
          <w:tcPr>
            <w:tcW w:w="1863" w:type="dxa"/>
            <w:gridSpan w:val="5"/>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-22,7 %</w:t>
            </w:r>
          </w:p>
          <w:p/>
        </w:tc>
        <w:tc>
          <w:tcPr>
            <w:tcW w:w="1719" w:type="dxa"/>
            <w:gridSpan w:val="6"/>
            <w:vMerge/>
            <w:shd w:val="clear" w:color="auto" w:fill="auto"/>
          </w:tcPr>
          <w:p/>
        </w:tc>
        <w:tc>
          <w:tcPr>
            <w:tcW w:w="29" w:type="dxa"/>
          </w:tcPr>
          <w:p/>
        </w:tc>
      </w:tr>
      <w:tr>
        <w:trPr>
          <w:trHeight w:val="286"/>
        </w:trPr>
        <w:tc>
          <w:tcPr>
            <w:tcW w:w="2149" w:type="dxa"/>
            <w:gridSpan w:val="6"/>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 défavorable</w:t>
            </w:r>
          </w:p>
          <w:p/>
        </w:tc>
        <w:tc>
          <w:tcPr>
            <w:tcW w:w="2866" w:type="dxa"/>
            <w:gridSpan w:val="7"/>
            <w:vMerge w:val="restart"/>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Ce que vous pourriez obtenir après déduction des coûts</w:t>
            </w:r>
          </w:p>
          <w:p/>
        </w:tc>
        <w:tc>
          <w:tcPr>
            <w:tcW w:w="2149" w:type="dxa"/>
            <w:gridSpan w:val="10"/>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8337 €</w:t>
            </w:r>
          </w:p>
          <w:p/>
        </w:tc>
        <w:tc>
          <w:tcPr>
            <w:tcW w:w="1863" w:type="dxa"/>
            <w:gridSpan w:val="5"/>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9430 €</w:t>
            </w:r>
          </w:p>
          <w:p/>
        </w:tc>
        <w:tc>
          <w:tcPr>
            <w:tcW w:w="1719" w:type="dxa"/>
            <w:gridSpan w:val="6"/>
            <w:vMerge/>
            <w:shd w:val="clear" w:color="auto" w:fill="auto"/>
          </w:tcPr>
          <w:p/>
        </w:tc>
        <w:tc>
          <w:tcPr>
            <w:tcW w:w="29" w:type="dxa"/>
          </w:tcPr>
          <w:p/>
        </w:tc>
      </w:tr>
      <w:tr>
        <w:trPr>
          <w:trHeight w:val="72"/>
        </w:trPr>
        <w:tc>
          <w:tcPr>
            <w:tcW w:w="2149" w:type="dxa"/>
            <w:gridSpan w:val="6"/>
            <w:shd w:val="clear" w:color="auto" w:fill="auto"/>
          </w:tcPr>
          <w:p/>
        </w:tc>
        <w:tc>
          <w:tcPr>
            <w:tcW w:w="2866" w:type="dxa"/>
            <w:gridSpan w:val="7"/>
            <w:vMerge/>
            <w:vAlign w:val="center"/>
            <w:shd w:val="clear" w:color="auto" w:fill="auto"/>
          </w:tcPr>
          <w:p/>
        </w:tc>
        <w:tc>
          <w:tcPr>
            <w:tcW w:w="5731" w:type="dxa"/>
            <w:gridSpan w:val="21"/>
            <w:shd w:val="clear" w:color="auto" w:fill="auto"/>
          </w:tcPr>
          <w:p/>
        </w:tc>
        <w:tc>
          <w:tcPr>
            <w:tcW w:w="29" w:type="dxa"/>
          </w:tcPr>
          <w:p/>
        </w:tc>
      </w:tr>
      <w:tr>
        <w:trPr>
          <w:trHeight w:val="287"/>
        </w:trPr>
        <w:tc>
          <w:tcPr>
            <w:tcW w:w="2149" w:type="dxa"/>
            <w:gridSpan w:val="6"/>
            <w:vAlign w:val="center"/>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866" w:type="dxa"/>
            <w:gridSpan w:val="7"/>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Rendement annuel moyen</w:t>
            </w:r>
          </w:p>
          <w:p/>
        </w:tc>
        <w:tc>
          <w:tcPr>
            <w:tcW w:w="2149" w:type="dxa"/>
            <w:gridSpan w:val="10"/>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-16,63 %</w:t>
            </w:r>
          </w:p>
          <w:p/>
        </w:tc>
        <w:tc>
          <w:tcPr>
            <w:tcW w:w="1863" w:type="dxa"/>
            <w:gridSpan w:val="5"/>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-1,17 %</w:t>
            </w:r>
          </w:p>
          <w:p/>
        </w:tc>
        <w:tc>
          <w:tcPr>
            <w:tcW w:w="1719" w:type="dxa"/>
            <w:gridSpan w:val="6"/>
            <w:vMerge w:val="restart"/>
            <w:shd w:val="clear" w:color="auto" w:fill="auto"/>
          </w:tcPr>
          <w:p>
            <w:pPr>
              <w:rPr>
                <w:rFonts w:ascii="Arial" w:hAnsi="Arial" w:eastAsia="Arial" w:cs="Arial"/>
                <w:color w:val="000000"/>
                <w:sz w:val="16"/>
                <w:spacing w:val="-2"/>
              </w:rPr>
              <w:spacing w:line="229"/>
              <w:jc w:val="center"/>
            </w:pPr>
            <w:r>
              <w:rPr>
                <w:color w:val="000000"/>
                <w:sz w:val="16"/>
                <w:szCs w:val="16"/>
                <w:rFonts w:ascii="Aparajita" w:hAnsi="Aparajita" w:eastAsia="Aparajita" w:cs="Aparajita"/>
                <w:spacing w:val="-2"/>
              </w:rPr>
              <w:t xml:space="preserve">Le scénario intermédiaire s’est déroulé durant la période entre 01/2015 et 01/2020.</w:t>
            </w:r>
            <w:r>
              <w:rPr>
                <w:color w:val="000000"/>
                <w:sz w:val="16"/>
                <w:szCs w:val="16"/>
                <w:rFonts w:ascii="Arial" w:hAnsi="Arial" w:eastAsia="Arial" w:cs="Arial"/>
                <w:spacing w:val="-2"/>
              </w:rPr>
              <w:t xml:space="preserve"/>
            </w:r>
          </w:p>
          <w:p/>
        </w:tc>
        <w:tc>
          <w:tcPr>
            <w:tcW w:w="29" w:type="dxa"/>
          </w:tcPr>
          <w:p/>
        </w:tc>
      </w:tr>
      <w:tr>
        <w:trPr>
          <w:trHeight w:val="429"/>
        </w:trPr>
        <w:tc>
          <w:tcPr>
            <w:tcW w:w="2149" w:type="dxa"/>
            <w:gridSpan w:val="6"/>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 intermédiaire</w:t>
            </w:r>
          </w:p>
          <w:p/>
        </w:tc>
        <w:tc>
          <w:tcPr>
            <w:tcW w:w="2866" w:type="dxa"/>
            <w:gridSpan w:val="7"/>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Ce que vous pourriez obtenir après déduction des coûts</w:t>
            </w:r>
          </w:p>
          <w:p/>
        </w:tc>
        <w:tc>
          <w:tcPr>
            <w:tcW w:w="2149" w:type="dxa"/>
            <w:gridSpan w:val="10"/>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10478 €</w:t>
            </w:r>
          </w:p>
          <w:p/>
        </w:tc>
        <w:tc>
          <w:tcPr>
            <w:tcW w:w="1863" w:type="dxa"/>
            <w:gridSpan w:val="5"/>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12544 €</w:t>
            </w:r>
          </w:p>
          <w:p/>
        </w:tc>
        <w:tc>
          <w:tcPr>
            <w:tcW w:w="1719" w:type="dxa"/>
            <w:gridSpan w:val="6"/>
            <w:vMerge/>
            <w:shd w:val="clear" w:color="auto" w:fill="auto"/>
          </w:tcPr>
          <w:p/>
        </w:tc>
        <w:tc>
          <w:tcPr>
            <w:tcW w:w="29" w:type="dxa"/>
          </w:tcPr>
          <w:p/>
        </w:tc>
      </w:tr>
      <w:tr>
        <w:trPr>
          <w:trHeight w:val="144"/>
        </w:trPr>
        <w:tc>
          <w:tcPr>
            <w:tcW w:w="2149" w:type="dxa"/>
            <w:gridSpan w:val="6"/>
            <w:vMerge w:val="restart"/>
            <w:vAlign w:val="center"/>
            <w:shd w:val="clear" w:color="auto" w:fill="DDDDDD"/>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866" w:type="dxa"/>
            <w:gridSpan w:val="7"/>
            <w:vMerge w:val="restart"/>
            <w:vAlign w:val="center"/>
            <w:shd w:val="clear" w:color="auto" w:fill="DDDDDD"/>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Rendement annuel moyen</w:t>
            </w:r>
          </w:p>
          <w:p/>
        </w:tc>
        <w:tc>
          <w:tcPr>
            <w:tcW w:w="2149" w:type="dxa"/>
            <w:gridSpan w:val="10"/>
            <w:vMerge w:val="restart"/>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4,78  %</w:t>
            </w:r>
          </w:p>
          <w:p/>
        </w:tc>
        <w:tc>
          <w:tcPr>
            <w:tcW w:w="1863" w:type="dxa"/>
            <w:gridSpan w:val="5"/>
            <w:vMerge w:val="restart"/>
            <w:vAlign w:val="center"/>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4,64  %</w:t>
            </w:r>
          </w:p>
          <w:p/>
        </w:tc>
        <w:tc>
          <w:tcPr>
            <w:tcW w:w="1719" w:type="dxa"/>
            <w:gridSpan w:val="6"/>
            <w:vMerge/>
            <w:shd w:val="clear" w:color="auto" w:fill="auto"/>
          </w:tcPr>
          <w:p/>
        </w:tc>
        <w:tc>
          <w:tcPr>
            <w:tcW w:w="29" w:type="dxa"/>
          </w:tcPr>
          <w:p/>
        </w:tc>
      </w:tr>
      <w:tr>
        <w:trPr>
          <w:trHeight w:val="143"/>
        </w:trPr>
        <w:tc>
          <w:tcPr>
            <w:tcW w:w="2149" w:type="dxa"/>
            <w:gridSpan w:val="6"/>
            <w:vMerge/>
            <w:vAlign w:val="center"/>
            <w:shd w:val="clear" w:color="auto" w:fill="DDDDDD"/>
          </w:tcPr>
          <w:p/>
        </w:tc>
        <w:tc>
          <w:tcPr>
            <w:tcW w:w="2866" w:type="dxa"/>
            <w:gridSpan w:val="7"/>
            <w:vMerge/>
            <w:vAlign w:val="center"/>
            <w:shd w:val="clear" w:color="auto" w:fill="DDDDDD"/>
          </w:tcPr>
          <w:p/>
        </w:tc>
        <w:tc>
          <w:tcPr>
            <w:tcW w:w="2149" w:type="dxa"/>
            <w:gridSpan w:val="10"/>
            <w:vMerge/>
            <w:vAlign w:val="center"/>
            <w:shd w:val="clear" w:color="auto" w:fill="DDDDDD"/>
          </w:tcPr>
          <w:p/>
        </w:tc>
        <w:tc>
          <w:tcPr>
            <w:tcW w:w="1863" w:type="dxa"/>
            <w:gridSpan w:val="5"/>
            <w:vMerge/>
            <w:vAlign w:val="center"/>
            <w:shd w:val="clear" w:color="auto" w:fill="DDDDDD"/>
          </w:tcPr>
          <w:p/>
        </w:tc>
        <w:tc>
          <w:tcPr>
            <w:tcW w:w="1719" w:type="dxa"/>
            <w:gridSpan w:val="6"/>
            <w:vMerge w:val="restart"/>
            <w:shd w:val="clear" w:color="auto" w:fill="auto"/>
          </w:tcPr>
          <w:p>
            <w:pPr>
              <w:rPr>
                <w:rFonts w:ascii="Arial" w:hAnsi="Arial" w:eastAsia="Arial" w:cs="Arial"/>
                <w:color w:val="000000"/>
                <w:sz w:val="16"/>
                <w:spacing w:val="-2"/>
              </w:rPr>
              <w:spacing w:line="229"/>
              <w:jc w:val="center"/>
            </w:pPr>
            <w:r>
              <w:rPr>
                <w:color w:val="000000"/>
                <w:sz w:val="16"/>
                <w:szCs w:val="16"/>
                <w:rFonts w:ascii="Aparajita" w:hAnsi="Aparajita" w:eastAsia="Aparajita" w:cs="Aparajita"/>
                <w:spacing w:val="-2"/>
              </w:rPr>
              <w:t xml:space="preserve">Le scénario favorable s’est déroulé durant la période entre 02/2013 et 02/2018.</w:t>
            </w:r>
            <w:r>
              <w:rPr>
                <w:color w:val="000000"/>
                <w:sz w:val="16"/>
                <w:szCs w:val="16"/>
                <w:rFonts w:ascii="Arial" w:hAnsi="Arial" w:eastAsia="Arial" w:cs="Arial"/>
                <w:spacing w:val="-2"/>
              </w:rPr>
              <w:t xml:space="preserve"/>
            </w:r>
          </w:p>
          <w:p/>
        </w:tc>
        <w:tc>
          <w:tcPr>
            <w:tcW w:w="29" w:type="dxa"/>
          </w:tcPr>
          <w:p/>
        </w:tc>
      </w:tr>
      <w:tr>
        <w:trPr>
          <w:trHeight w:val="186"/>
        </w:trPr>
        <w:tc>
          <w:tcPr>
            <w:tcW w:w="2149" w:type="dxa"/>
            <w:gridSpan w:val="6"/>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 favorable</w:t>
            </w:r>
          </w:p>
          <w:p/>
        </w:tc>
        <w:tc>
          <w:tcPr>
            <w:tcW w:w="2866" w:type="dxa"/>
            <w:gridSpan w:val="7"/>
            <w:vMerge w:val="restart"/>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Ce que vous pourriez obtenir après déduction des coûts</w:t>
            </w:r>
          </w:p>
          <w:p/>
        </w:tc>
        <w:tc>
          <w:tcPr>
            <w:tcW w:w="2149" w:type="dxa"/>
            <w:gridSpan w:val="10"/>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12783 €</w:t>
            </w:r>
          </w:p>
          <w:p/>
        </w:tc>
        <w:tc>
          <w:tcPr>
            <w:tcW w:w="1863" w:type="dxa"/>
            <w:gridSpan w:val="5"/>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14944 €</w:t>
            </w:r>
          </w:p>
          <w:p/>
        </w:tc>
        <w:tc>
          <w:tcPr>
            <w:tcW w:w="1719" w:type="dxa"/>
            <w:gridSpan w:val="6"/>
            <w:vMerge/>
            <w:shd w:val="clear" w:color="auto" w:fill="auto"/>
          </w:tcPr>
          <w:p/>
        </w:tc>
        <w:tc>
          <w:tcPr>
            <w:tcW w:w="29" w:type="dxa"/>
          </w:tcPr>
          <w:p/>
        </w:tc>
      </w:tr>
      <w:tr>
        <w:trPr>
          <w:trHeight w:val="172"/>
        </w:trPr>
        <w:tc>
          <w:tcPr>
            <w:tcW w:w="2149" w:type="dxa"/>
            <w:gridSpan w:val="6"/>
            <w:shd w:val="clear" w:color="auto" w:fill="auto"/>
          </w:tcPr>
          <w:p/>
        </w:tc>
        <w:tc>
          <w:tcPr>
            <w:tcW w:w="2866" w:type="dxa"/>
            <w:gridSpan w:val="7"/>
            <w:vMerge/>
            <w:vAlign w:val="center"/>
            <w:shd w:val="clear" w:color="auto" w:fill="auto"/>
          </w:tcPr>
          <w:p/>
        </w:tc>
        <w:tc>
          <w:tcPr>
            <w:tcW w:w="4012" w:type="dxa"/>
            <w:gridSpan w:val="15"/>
            <w:shd w:val="clear" w:color="auto" w:fill="auto"/>
          </w:tcPr>
          <w:p/>
        </w:tc>
        <w:tc>
          <w:tcPr>
            <w:tcW w:w="1719" w:type="dxa"/>
            <w:gridSpan w:val="6"/>
            <w:vMerge/>
            <w:shd w:val="clear" w:color="auto" w:fill="auto"/>
          </w:tcPr>
          <w:p/>
        </w:tc>
        <w:tc>
          <w:tcPr>
            <w:tcW w:w="29" w:type="dxa"/>
          </w:tcPr>
          <w:p/>
        </w:tc>
      </w:tr>
      <w:tr>
        <w:trPr>
          <w:trHeight w:val="72"/>
        </w:trPr>
        <w:tc>
          <w:tcPr>
            <w:tcW w:w="9027" w:type="dxa"/>
            <w:gridSpan w:val="28"/>
            <w:shd w:val="clear" w:color="auto" w:fill="auto"/>
          </w:tcPr>
          <w:p/>
        </w:tc>
        <w:tc>
          <w:tcPr>
            <w:tcW w:w="1719" w:type="dxa"/>
            <w:gridSpan w:val="6"/>
            <w:vMerge/>
            <w:shd w:val="clear" w:color="auto" w:fill="auto"/>
          </w:tcPr>
          <w:p/>
        </w:tc>
        <w:tc>
          <w:tcPr>
            <w:tcW w:w="29" w:type="dxa"/>
          </w:tcPr>
          <w:p/>
        </w:tc>
      </w:tr>
      <w:tr>
        <w:trPr>
          <w:trHeight w:val="286"/>
        </w:trPr>
        <w:tc>
          <w:tcPr>
            <w:tcW w:w="2149" w:type="dxa"/>
            <w:gridSpan w:val="6"/>
            <w:vAlign w:val="center"/>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866" w:type="dxa"/>
            <w:gridSpan w:val="7"/>
            <w:vAlign w:val="center"/>
            <w:shd w:val="clear" w:color="auto" w:fill="auto"/>
          </w:tcPr>
          <w:p>
            <w:pPr>
              <w:rPr>
                <w:rFonts w:ascii="Aparajita" w:hAnsi="Aparajita" w:eastAsia="Aparajita" w:cs="Aparajita"/>
                <w:color w:val="000000"/>
                <w:sz w:val="16"/>
                <w:spacing w:val="-2"/>
              </w:rPr>
              <w:spacing w:line="229"/>
            </w:pPr>
            <w:r>
              <w:rPr>
                <w:b/>
                <w:color w:val="000000"/>
                <w:sz w:val="16"/>
                <w:szCs w:val="16"/>
                <w:rFonts w:ascii="Aparajita, sans-serif" w:hAnsi="Aparajita, sans-serif" w:eastAsia="Aparajita, sans-serif" w:cs="Aparajita, sans-serif"/>
                <w:spacing w:val="-2"/>
              </w:rPr>
              <w:t xml:space="preserve">Rendement annuel moyen</w:t>
            </w:r>
          </w:p>
          <w:p/>
        </w:tc>
        <w:tc>
          <w:tcPr>
            <w:tcW w:w="2149" w:type="dxa"/>
            <w:gridSpan w:val="10"/>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27,83 %</w:t>
            </w:r>
          </w:p>
          <w:p/>
        </w:tc>
        <w:tc>
          <w:tcPr>
            <w:tcW w:w="1863" w:type="dxa"/>
            <w:gridSpan w:val="5"/>
            <w:vAlign w:val="center"/>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8,37 %</w:t>
            </w:r>
          </w:p>
          <w:p/>
        </w:tc>
        <w:tc>
          <w:tcPr>
            <w:tcW w:w="1719" w:type="dxa"/>
            <w:gridSpan w:val="6"/>
            <w:vMerge/>
            <w:shd w:val="clear" w:color="auto" w:fill="auto"/>
          </w:tcPr>
          <w:p/>
        </w:tc>
        <w:tc>
          <w:tcPr>
            <w:tcW w:w="29" w:type="dxa"/>
          </w:tcPr>
          <w:p/>
        </w:tc>
      </w:tr>
      <w:tr>
        <w:trPr>
          <w:trHeight w:val="287"/>
        </w:trPr>
        <w:tc>
          <w:tcPr>
            <w:tcW w:w="10746" w:type="dxa"/>
            <w:gridSpan w:val="34"/>
            <w:shd w:val="clear" w:color="auto" w:fill="auto"/>
          </w:tcPr>
          <w:p/>
        </w:tc>
        <w:tc>
          <w:tcPr>
            <w:tcW w:w="29" w:type="dxa"/>
          </w:tcPr>
          <w:p/>
        </w:tc>
      </w:tr>
      <w:tr>
        <w:trPr>
          <w:trHeight w:val="215"/>
        </w:trPr>
        <w:tc>
          <w:tcPr>
            <w:tcW w:w="10746" w:type="dxa"/>
            <w:gridSpan w:val="34"/>
            <w:tcBorders>
              <w:bottom w:val="single" w:sz="5" w:space="0" w:color="000000"/>
            </w:tcBorders>
            <w:shd w:val="clear" w:color="auto" w:fill="auto"/>
          </w:tcPr>
          <w:p>
            <w:pPr>
              <w:rPr>
                <w:rFonts w:ascii="Arial" w:hAnsi="Arial" w:eastAsia="Arial" w:cs="Arial"/>
                <w:color w:val="000000"/>
                <w:sz w:val="16"/>
                <w:spacing w:val="-2"/>
              </w:rPr>
              <w:spacing w:line="229"/>
            </w:pPr>
            <w:r>
              <w:rPr>
                <w:color w:val="000000"/>
                <w:sz w:val="16"/>
                <w:szCs w:val="16"/>
                <w:rFonts w:ascii="Arial" w:hAnsi="Arial" w:eastAsia="Arial" w:cs="Arial"/>
                <w:spacing w:val="-2"/>
              </w:rPr>
              <w:t xml:space="preserve"/>
            </w:r>
            <w:r>
              <w:rPr>
                <w:b/>
                <w:color w:val="000000"/>
                <w:sz w:val="18"/>
                <w:szCs w:val="18"/>
                <w:rFonts w:ascii="Aparajita" w:hAnsi="Aparajita" w:eastAsia="Aparajita" w:cs="Aparajita"/>
                <w:spacing w:val="-2"/>
              </w:rPr>
              <w:t xml:space="preserve">Que se passe-t-il si </w:t>
            </w:r>
            <w:r>
              <w:rPr>
                <w:color w:val="000000"/>
                <w:sz w:val="18"/>
                <w:szCs w:val="18"/>
                <w:rFonts w:ascii="Aparajita" w:hAnsi="Aparajita" w:eastAsia="Aparajita" w:cs="Aparajita"/>
                <w:spacing w:val="-2"/>
              </w:rPr>
              <w:t xml:space="preserve"/>
            </w:r>
            <w:r>
              <w:rPr>
                <w:b/>
                <w:color w:val="000000"/>
                <w:sz w:val="16"/>
                <w:szCs w:val="16"/>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AG2R LA MONDIALE GESTION D'ACTIFS</w:t>
            </w:r>
            <w:r>
              <w:rPr>
                <w:b/>
                <w:color w:val="000000"/>
                <w:sz w:val="18"/>
                <w:szCs w:val="18"/>
                <w:rFonts w:ascii="Aparajita" w:hAnsi="Aparajita" w:eastAsia="Aparajita" w:cs="Aparajita"/>
                <w:spacing w:val="-2"/>
              </w:rPr>
              <w:t xml:space="preserve"/>
            </w:r>
            <w:r>
              <w:rPr>
                <w:color w:val="000000"/>
                <w:sz w:val="16"/>
                <w:szCs w:val="16"/>
                <w:rFonts w:ascii="Arial" w:hAnsi="Arial" w:eastAsia="Arial" w:cs="Arial"/>
                <w:spacing w:val="-2"/>
              </w:rPr>
              <w:t xml:space="preserve"/>
            </w:r>
            <w:r>
              <w:rPr>
                <w:b/>
                <w:color w:val="000000"/>
                <w:sz w:val="18"/>
                <w:szCs w:val="18"/>
                <w:rFonts w:ascii="Aparajita" w:hAnsi="Aparajita" w:eastAsia="Aparajita" w:cs="Aparajita"/>
                <w:spacing w:val="-2"/>
              </w:rPr>
              <w:t xml:space="preserve"> n’est pas en mesure d’effectuer les versements ?</w:t>
            </w:r>
            <w:r>
              <w:rPr>
                <w:color w:val="000000"/>
                <w:sz w:val="18"/>
                <w:szCs w:val="18"/>
                <w:rFonts w:ascii="Aparajita" w:hAnsi="Aparajita" w:eastAsia="Aparajita" w:cs="Aparajita"/>
                <w:spacing w:val="-2"/>
              </w:rPr>
              <w:t xml:space="preserve"/>
            </w:r>
          </w:p>
          <w:p/>
        </w:tc>
        <w:tc>
          <w:tcPr>
            <w:tcW w:w="29" w:type="dxa"/>
          </w:tcPr>
          <w:p/>
        </w:tc>
      </w:tr>
      <w:tr>
        <w:trPr>
          <w:trHeight w:val="71"/>
        </w:trPr>
        <w:tc>
          <w:tcPr>
            <w:tcW w:w="10746" w:type="dxa"/>
            <w:gridSpan w:val="34"/>
            <w:tcBorders>
              <w:top w:val="single" w:sz="5" w:space="0" w:color="000000"/>
            </w:tcBorders>
            <w:shd w:val="clear" w:color="auto" w:fill="auto"/>
          </w:tcPr>
          <w:p/>
        </w:tc>
        <w:tc>
          <w:tcPr>
            <w:tcW w:w="29" w:type="dxa"/>
          </w:tcPr>
          <w:p/>
        </w:tc>
      </w:tr>
      <w:tr>
        <w:trPr>
          <w:trHeight w:val="731"/>
        </w:trPr>
        <w:tc>
          <w:tcPr>
            <w:tcW w:w="10746" w:type="dxa"/>
            <w:gridSpan w:val="34"/>
            <w:vAlign w:val="center"/>
            <w:shd w:val="clear" w:color="auto" w:fill="auto"/>
          </w:tcPr>
          <w:p>
            <w:pPr>
              <w:rPr>
                <w:rFonts w:ascii="Arial" w:hAnsi="Arial" w:eastAsia="Arial" w:cs="Arial"/>
                <w:color w:val="000000"/>
                <w:sz w:val="16"/>
                <w:spacing w:val="-2"/>
              </w:rPr>
              <w:spacing w:line="229"/>
            </w:pPr>
          </w:p>
          <w:p>
            <w:pPr>
              <w:rPr>
                <w:rFonts w:ascii="Arial" w:hAnsi="Arial" w:eastAsia="Arial" w:cs="Arial"/>
                <w:color w:val="000000"/>
                <w:sz w:val="16"/>
                <w:spacing w:val="-2"/>
              </w:rPr>
              <w:spacing w:line="229"/>
              <w:jc w:val="both"/>
            </w:pPr>
            <w:r>
              <w:rPr>
                <w:color w:val="000000"/>
                <w:sz w:val="16"/>
                <w:szCs w:val="16"/>
                <w:rFonts w:ascii="Aparajita" w:hAnsi="Aparajita" w:eastAsia="Aparajita" w:cs="Aparajita"/>
                <w:spacing w:val="-2"/>
              </w:rPr>
              <w:t xml:space="preserve">L’investissement dans une SICAV n’est pas garanti ni couvert par un système d’indemnisation des investisseurs ou de garantie. Les actifs de la SICAV sont détenus sur un ou plusieurs comptes bancaires ouverts au nom de la SICAV chez le dépositaire. Par conséquent, le défaut de la Société AG2R LA MONDIALE GESTION D'ACTIFS n’aurait pas d’impact sur les actifs de la SICAV. La revente des actions, le capital et les revenus de la SICAV ne sont pas garantis par la Société de Gestion.</w:t>
            </w:r>
            <w:r>
              <w:rPr>
                <w:color w:val="000000"/>
                <w:sz w:val="16"/>
                <w:szCs w:val="16"/>
                <w:rFonts w:ascii="Arial" w:hAnsi="Arial" w:eastAsia="Arial" w:cs="Arial"/>
                <w:spacing w:val="-2"/>
              </w:rPr>
              <w:t xml:space="preserve"/>
            </w:r>
          </w:p>
          <w:p/>
        </w:tc>
        <w:tc>
          <w:tcPr>
            <w:tcW w:w="29" w:type="dxa"/>
          </w:tcPr>
          <w:p/>
        </w:tc>
      </w:tr>
      <w:tr>
        <w:trPr>
          <w:trHeight w:val="143"/>
        </w:trPr>
        <w:tc>
          <w:tcPr>
            <w:tcW w:w="10746" w:type="dxa"/>
            <w:gridSpan w:val="34"/>
            <w:shd w:val="clear" w:color="auto" w:fill="auto"/>
          </w:tcPr>
          <w:p/>
        </w:tc>
        <w:tc>
          <w:tcPr>
            <w:tcW w:w="29" w:type="dxa"/>
          </w:tcPr>
          <w:p/>
        </w:tc>
      </w:tr>
      <w:tr>
        <w:trPr>
          <w:trHeight w:val="215"/>
        </w:trPr>
        <w:tc>
          <w:tcPr>
            <w:tcW w:w="10746" w:type="dxa"/>
            <w:gridSpan w:val="34"/>
            <w:tcBorders>
              <w:bottom w:val="single" w:sz="5" w:space="0" w:color="000000"/>
            </w:tcBorders>
            <w:shd w:val="clear" w:color="auto" w:fill="auto"/>
          </w:tcPr>
          <w:p>
            <w:pPr>
              <w:rPr>
                <w:rFonts w:ascii="Arial" w:hAnsi="Arial" w:eastAsia="Arial" w:cs="Arial"/>
                <w:color w:val="000000"/>
                <w:sz w:val="16"/>
                <w:spacing w:val="-2"/>
              </w:rPr>
              <w:spacing w:line="229"/>
            </w:pPr>
            <w:r>
              <w:rPr>
                <w:color w:val="000000"/>
                <w:sz w:val="16"/>
                <w:szCs w:val="16"/>
                <w:rFonts w:ascii="Arial" w:hAnsi="Arial" w:eastAsia="Arial" w:cs="Arial"/>
                <w:spacing w:val="-2"/>
              </w:rPr>
              <w:t xml:space="preserve"/>
            </w:r>
            <w:r>
              <w:rPr>
                <w:b/>
                <w:color w:val="000000"/>
                <w:sz w:val="18"/>
                <w:szCs w:val="18"/>
                <w:rFonts w:ascii="Aparajita" w:hAnsi="Aparajita" w:eastAsia="Aparajita" w:cs="Aparajita"/>
                <w:spacing w:val="-2"/>
              </w:rPr>
              <w:t xml:space="preserve">Que va me coûter cet investissement ?</w:t>
            </w:r>
            <w:r>
              <w:rPr>
                <w:color w:val="000000"/>
                <w:sz w:val="18"/>
                <w:szCs w:val="18"/>
                <w:rFonts w:ascii="Aparajita" w:hAnsi="Aparajita" w:eastAsia="Aparajita" w:cs="Aparajita"/>
                <w:spacing w:val="-2"/>
              </w:rPr>
              <w:t xml:space="preserve"/>
            </w:r>
          </w:p>
          <w:p/>
        </w:tc>
        <w:tc>
          <w:tcPr>
            <w:tcW w:w="29" w:type="dxa"/>
          </w:tcPr>
          <w:p/>
        </w:tc>
      </w:tr>
      <w:tr>
        <w:trPr>
          <w:trHeight w:val="215"/>
        </w:trPr>
        <w:tc>
          <w:tcPr>
            <w:tcW w:w="10746" w:type="dxa"/>
            <w:gridSpan w:val="34"/>
            <w:tcBorders>
              <w:top w:val="single" w:sz="5" w:space="0" w:color="000000"/>
            </w:tcBorders>
            <w:shd w:val="clear" w:color="auto" w:fill="auto"/>
          </w:tcPr>
          <w:p/>
        </w:tc>
        <w:tc>
          <w:tcPr>
            <w:tcW w:w="29" w:type="dxa"/>
          </w:tcPr>
          <w:p/>
        </w:tc>
      </w:tr>
      <w:tr>
        <w:trPr>
          <w:trHeight w:val="373"/>
        </w:trPr>
        <w:tc>
          <w:tcPr>
            <w:tcW w:w="10746" w:type="dxa"/>
            <w:gridSpan w:val="34"/>
            <w:vAlign w:val="center"/>
            <w:shd w:val="clear" w:color="auto" w:fill="auto"/>
          </w:tcPr>
          <w:p>
            <w:pPr>
              <w:rPr>
                <w:rFonts w:ascii="Arial" w:hAnsi="Arial" w:eastAsia="Arial" w:cs="Arial"/>
                <w:color w:val="000000"/>
                <w:sz w:val="16"/>
                <w:spacing w:val="-2"/>
              </w:rPr>
              <w:spacing w:line="229"/>
              <w:jc w:val="both"/>
            </w:pPr>
            <w:r>
              <w:rPr>
                <w:color w:val="000000"/>
                <w:sz w:val="16"/>
                <w:szCs w:val="16"/>
                <w:rFonts w:ascii="Aparajita" w:hAnsi="Aparajita" w:eastAsia="Aparajita" w:cs="Aparajita"/>
                <w:spacing w:val="-2"/>
              </w:rPr>
              <w:t xml:space="preserve">Il se peut que la personne qui vous vend cette SICAV ou qui vous fournit des conseils à son sujet vous demande de payer des coûts supplémentaires. Si c’est le cas, cette personne vous informera au sujet de ces coûts et vous montrera l’incidence de ces coûts sur votre investissement.</w:t>
            </w:r>
            <w:r>
              <w:rPr>
                <w:color w:val="000000"/>
                <w:sz w:val="16"/>
                <w:szCs w:val="16"/>
                <w:rFonts w:ascii="Arial" w:hAnsi="Arial" w:eastAsia="Arial" w:cs="Arial"/>
                <w:spacing w:val="-2"/>
              </w:rPr>
              <w:t xml:space="preserve"/>
            </w:r>
          </w:p>
          <w:p/>
        </w:tc>
        <w:tc>
          <w:tcPr>
            <w:tcW w:w="29" w:type="dxa"/>
          </w:tcPr>
          <w:p/>
        </w:tc>
      </w:tr>
      <w:tr>
        <w:trPr>
          <w:trHeight w:val="200"/>
        </w:trPr>
        <w:tc>
          <w:tcPr>
            <w:tcW w:w="10746" w:type="dxa"/>
            <w:gridSpan w:val="34"/>
            <w:shd w:val="clear" w:color="auto" w:fill="auto"/>
          </w:tcPr>
          <w:p/>
        </w:tc>
        <w:tc>
          <w:tcPr>
            <w:tcW w:w="29" w:type="dxa"/>
          </w:tcPr>
          <w:p/>
        </w:tc>
      </w:tr>
      <w:tr>
        <w:trPr>
          <w:trHeight w:val="187"/>
        </w:trPr>
        <w:tc>
          <w:tcPr>
            <w:tcW w:w="2149" w:type="dxa"/>
            <w:gridSpan w:val="6"/>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au fil du temps</w:t>
            </w:r>
          </w:p>
          <w:p/>
        </w:tc>
        <w:tc>
          <w:tcPr>
            <w:tcW w:w="8597" w:type="dxa"/>
            <w:gridSpan w:val="28"/>
            <w:shd w:val="clear" w:color="auto" w:fill="auto"/>
          </w:tcPr>
          <w:p/>
        </w:tc>
        <w:tc>
          <w:tcPr>
            <w:tcW w:w="29" w:type="dxa"/>
          </w:tcPr>
          <w:p/>
        </w:tc>
      </w:tr>
      <w:tr>
        <w:trPr>
          <w:trHeight w:val="1089"/>
        </w:trPr>
        <w:tc>
          <w:tcPr>
            <w:tcW w:w="10746" w:type="dxa"/>
            <w:gridSpan w:val="34"/>
            <w:tcBorders>
              <w:bottom w:val="single" w:sz="5" w:space="0" w:color="000000"/>
            </w:tcBorders>
            <w:shd w:val="clear" w:color="auto" w:fill="auto"/>
          </w:tcPr>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Les tableaux présentent les montants prélevés sur votre investissement afin de couvrir les différents types de coûts. Ces montants dépendent du montant que vous investissez, du temps pendant lequel vous détenez le produit et du rendement du produit. Les montants indiqués ici sont des illustrations basées sur un exemple de montant d’investissement et différentes périodes d’investissement possibles. Nous avons supposé :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w:t>
            </w:r>
            <w:r>
              <w:rPr>
                <w:color w:val="000000"/>
                <w:sz w:val="16"/>
                <w:szCs w:val="16"/>
                <w:rFonts w:ascii="Aparajita" w:hAnsi="Aparajita" w:eastAsia="Aparajita" w:cs="Aparajita"/>
                <w:spacing w:val="-2"/>
              </w:rPr>
              <w:t xml:space="preserve">Qu’au cours de la première année vous récupéreriez le montant que vous avez investi (rendement annuel de 0 %). </w:t>
            </w:r>
            <w:r>
              <w:rPr>
                <w:color w:val="000000"/>
                <w:sz w:val="16"/>
                <w:szCs w:val="16"/>
                <w:rFonts w:ascii="Aparajita" w:hAnsi="Aparajita" w:eastAsia="Aparajita" w:cs="Aparajita"/>
                <w:spacing w:val="-2"/>
              </w:rPr>
              <w:t xml:space="preserve">Que pour les autres périodes de détention, le produit évolue de la manière indiquée dans le scénario intermédiaire.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10 000 EUR sont investis.</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w:r>
          </w:p>
          <w:p/>
        </w:tc>
        <w:tc>
          <w:tcPr>
            <w:tcW w:w="29" w:type="dxa"/>
          </w:tcPr>
          <w:p/>
        </w:tc>
      </w:tr>
      <w:tr>
        <w:trPr>
          <w:trHeight w:val="429"/>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Investissement de 10.000 € </w:t>
            </w:r>
          </w:p>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Scénario </w:t>
            </w:r>
            <w:r>
              <w:rPr>
                <w:color w:val="000000"/>
                <w:sz w:val="16"/>
                <w:szCs w:val="16"/>
                <w:rFonts w:ascii="Aparajita" w:hAnsi="Aparajita" w:eastAsia="Aparajita" w:cs="Aparajita"/>
                <w:spacing w:val="-2"/>
              </w:rPr>
              <w:t xml:space="preserve"/>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Si vous sortez après 1 an</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Si vous sortez après </w:t>
            </w:r>
            <w:r>
              <w:rPr>
                <w:b/>
                <w:color w:val="000000"/>
                <w:sz w:val="16"/>
                <w:szCs w:val="16"/>
                <w:rFonts w:ascii="Aparajita" w:hAnsi="Aparajita" w:eastAsia="Aparajita" w:cs="Aparajita"/>
                <w:spacing w:val="-2"/>
              </w:rPr>
              <w:t xml:space="preserve">5 ans </w:t>
            </w:r>
          </w:p>
          <w:p>
            <w:pPr>
              <w:rPr>
                <w:rFonts w:ascii="Aparajita" w:hAnsi="Aparajita" w:eastAsia="Aparajita" w:cs="Aparajita"/>
                <w:color w:val="000000"/>
                <w:sz w:val="16"/>
                <w:spacing w:val="-2"/>
              </w:rPr>
              <w:spacing w:line="229"/>
              <w:jc w:val="center"/>
            </w:pPr>
            <w:r>
              <w:rPr>
                <w:i/>
                <w:color w:val="000000"/>
                <w:sz w:val="16"/>
                <w:szCs w:val="16"/>
                <w:rFonts w:ascii="Aparajita" w:hAnsi="Aparajita" w:eastAsia="Aparajita" w:cs="Aparajita"/>
                <w:spacing w:val="-2"/>
              </w:rPr>
              <w:t xml:space="preserve">(Période de détention recommandée)</w:t>
            </w:r>
          </w:p>
          <w:p/>
        </w:tc>
        <w:tc>
          <w:tcPr>
            <w:tcW w:w="29" w:type="dxa"/>
            <w:tcBorders>
              <w:left w:val="single" w:sz="5" w:space="0" w:color="000000"/>
            </w:tcBorders>
          </w:tcPr>
          <w:p/>
        </w:tc>
      </w:tr>
      <w:tr>
        <w:trPr>
          <w:trHeight w:val="287"/>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totaux</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83 €</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526 €</w:t>
            </w:r>
          </w:p>
          <w:p/>
        </w:tc>
        <w:tc>
          <w:tcPr>
            <w:tcW w:w="29" w:type="dxa"/>
            <w:tcBorders>
              <w:left w:val="single" w:sz="5" w:space="0" w:color="000000"/>
            </w:tcBorders>
          </w:tcPr>
          <w:p/>
        </w:tc>
      </w:tr>
      <w:tr>
        <w:trPr>
          <w:trHeight w:val="287"/>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Incidence des coûts annuels (*)</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0,83 %</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0,86 %</w:t>
            </w:r>
          </w:p>
          <w:p/>
        </w:tc>
        <w:tc>
          <w:tcPr>
            <w:tcW w:w="29" w:type="dxa"/>
            <w:tcBorders>
              <w:left w:val="single" w:sz="5" w:space="0" w:color="000000"/>
            </w:tcBorders>
          </w:tcPr>
          <w:p/>
        </w:tc>
      </w:tr>
      <w:tr>
        <w:trPr>
          <w:trHeight w:val="143"/>
        </w:trPr>
        <w:tc>
          <w:tcPr>
            <w:tcW w:w="10746" w:type="dxa"/>
            <w:gridSpan w:val="34"/>
            <w:tcBorders>
              <w:top w:val="single" w:sz="5" w:space="0" w:color="000000"/>
            </w:tcBorders>
            <w:shd w:val="clear" w:color="auto" w:fill="auto"/>
          </w:tcPr>
          <w:p/>
        </w:tc>
        <w:tc>
          <w:tcPr>
            <w:tcW w:w="29" w:type="dxa"/>
          </w:tcPr>
          <w:p/>
        </w:tc>
      </w:tr>
      <w:tr>
        <w:trPr>
          <w:trHeight w:val="544"/>
        </w:trPr>
        <w:tc>
          <w:tcPr>
            <w:tcW w:w="10746" w:type="dxa"/>
            <w:gridSpan w:val="34"/>
            <w:shd w:val="clear" w:color="auto" w:fill="auto"/>
          </w:tcPr>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Elle montre dans quelle mesure les coûts réduisent annuellement votre rendement au cours de la période de détention. Par exemple, elle montre que si vous sortez à la fin de la période de détention recommandée, il est prévu que votre rendement moyen par an soit de </w:t>
            </w:r>
            <w:r>
              <w:rPr>
                <w:b/>
                <w:color w:val="000000"/>
                <w:sz w:val="16"/>
                <w:szCs w:val="16"/>
                <w:rFonts w:ascii="Aparajita" w:hAnsi="Aparajita" w:eastAsia="Aparajita" w:cs="Aparajita"/>
                <w:spacing w:val="-2"/>
              </w:rPr>
              <w:t xml:space="preserve">5,5 %</w:t>
            </w:r>
            <w:r>
              <w:rPr>
                <w:color w:val="000000"/>
                <w:sz w:val="16"/>
                <w:szCs w:val="16"/>
                <w:rFonts w:ascii="Aparajita" w:hAnsi="Aparajita" w:eastAsia="Aparajita" w:cs="Aparajita"/>
                <w:spacing w:val="-2"/>
              </w:rPr>
              <w:t xml:space="preserve"> avant déduction des coûts et de </w:t>
            </w:r>
            <w:r>
              <w:rPr>
                <w:b/>
                <w:color w:val="000000"/>
                <w:sz w:val="16"/>
                <w:szCs w:val="16"/>
                <w:rFonts w:ascii="Aparajita" w:hAnsi="Aparajita" w:eastAsia="Aparajita" w:cs="Aparajita"/>
                <w:spacing w:val="-2"/>
              </w:rPr>
              <w:t xml:space="preserve">4,64 %</w:t>
            </w:r>
            <w:r>
              <w:rPr>
                <w:color w:val="000000"/>
                <w:sz w:val="16"/>
                <w:szCs w:val="16"/>
                <w:rFonts w:ascii="Aparajita" w:hAnsi="Aparajita" w:eastAsia="Aparajita" w:cs="Aparajita"/>
                <w:spacing w:val="-2"/>
              </w:rPr>
              <w:t xml:space="preserve"> après cette déduction.</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Il se peut que nous partagions les coûts avec la personne qui vous vend le produit afin de couvrir les services qu’elle vous fournit. Cette personne vous informera, le cas échéant, du montant.</w:t>
            </w:r>
            <w:r>
              <w:rPr>
                <w:color w:val="000000"/>
                <w:sz w:val="16"/>
                <w:szCs w:val="16"/>
                <w:rFonts w:ascii="Aparajita" w:hAnsi="Aparajita" w:eastAsia="Aparajita" w:cs="Aparajita"/>
                <w:spacing w:val="-2"/>
              </w:rPr>
              <w:t xml:space="preserve"/>
            </w:r>
          </w:p>
          <w:p/>
        </w:tc>
        <w:tc>
          <w:tcPr>
            <w:tcW w:w="29" w:type="dxa"/>
          </w:tcPr>
          <w:p/>
        </w:tc>
      </w:tr>
      <w:tr>
        <w:trPr>
          <w:trHeight w:val="1089"/>
        </w:trPr>
        <w:tc>
          <w:tcPr>
            <w:tcW w:w="10746" w:type="dxa"/>
            <w:gridSpan w:val="34"/>
            <w:shd w:val="clear" w:color="auto" w:fill="auto"/>
          </w:tcPr>
          <w:p/>
        </w:tc>
        <w:tc>
          <w:tcPr>
            <w:tcW w:w="29" w:type="dxa"/>
          </w:tcPr>
          <w:p/>
        </w:tc>
      </w:tr>
      <w:tr>
        <w:trPr>
          <w:trHeight w:val="372"/>
        </w:trPr>
        <w:tc>
          <w:tcPr>
            <w:tcW w:w="2149" w:type="dxa"/>
            <w:gridSpan w:val="6"/>
            <w:vAlign w:val="center"/>
            <w:shd w:val="clear" w:color="auto" w:fill="auto"/>
          </w:tcPr>
          <w:p>
            <w:pPr>
              <w:rPr>
                <w:rFonts w:ascii="Aparajita" w:hAnsi="Aparajita" w:eastAsia="Aparajita" w:cs="Aparajita"/>
                <w:color w:val="000000"/>
                <w:sz w:val="16"/>
                <w:spacing w:val="-2"/>
              </w:rPr>
              <w:spacing w:line="229"/>
            </w:pPr>
          </w:p>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Composition des coûts :</w:t>
            </w:r>
          </w:p>
          <w:p/>
        </w:tc>
        <w:tc>
          <w:tcPr>
            <w:tcW w:w="8626" w:type="dxa"/>
            <w:gridSpan w:val="29"/>
          </w:tcPr>
          <w:p/>
        </w:tc>
      </w:tr>
      <w:tr>
        <w:trPr>
          <w:trHeight w:val="430"/>
        </w:trPr>
        <w:tc>
          <w:tcPr>
            <w:tcW w:w="10746" w:type="dxa"/>
            <w:gridSpan w:val="34"/>
            <w:tcBorders>
              <w:bottom w:val="single" w:sz="5" w:space="0" w:color="000000"/>
            </w:tcBorders>
          </w:tcPr>
          <w:p/>
        </w:tc>
        <w:tc>
          <w:tcPr>
            <w:tcW w:w="29" w:type="dxa"/>
          </w:tcPr>
          <w:p/>
        </w:tc>
      </w:tr>
      <w:tr>
        <w:trPr>
          <w:trHeight w:val="287"/>
        </w:trPr>
        <w:tc>
          <w:tcPr>
            <w:tcW w:w="6877" w:type="dxa"/>
            <w:gridSpan w:val="21"/>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ponctuels à l'entrée ou à la sortie</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Si vous sortez après 1 an</w:t>
            </w:r>
          </w:p>
          <w:p/>
        </w:tc>
        <w:tc>
          <w:tcPr>
            <w:tcW w:w="29" w:type="dxa"/>
            <w:tcBorders>
              <w:left w:val="single" w:sz="5" w:space="0" w:color="000000"/>
            </w:tcBorders>
          </w:tcPr>
          <w:p/>
        </w:tc>
      </w:tr>
      <w:tr>
        <w:trPr>
          <w:trHeight w:val="573"/>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d'entrée</w:t>
            </w:r>
          </w:p>
          <w:p/>
        </w:tc>
        <w:tc>
          <w:tcPr>
            <w:tcW w:w="3868" w:type="dxa"/>
            <w:gridSpan w:val="13"/>
            <w:tcMar>
              <w:left w:w="7" w:type="dxa"/>
              <w:right w:w="7" w:type="dxa"/>
            </w:tcMar>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Nous ne facturons pas de coûts d'entrée pour ce produit.</w:t>
            </w:r>
            <w:r>
              <w:rPr>
                <w:color w:val="000000"/>
                <w:sz w:val="16"/>
                <w:szCs w:val="16"/>
                <w:rFonts w:ascii="Aparajita" w:hAnsi="Aparajita" w:eastAsia="Aparajita" w:cs="Aparajita"/>
                <w:spacing w:val="-2"/>
              </w:rPr>
              <w:t xml:space="preserve"/>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0.00 €</w:t>
            </w:r>
          </w:p>
          <w:p/>
        </w:tc>
        <w:tc>
          <w:tcPr>
            <w:tcW w:w="29" w:type="dxa"/>
            <w:tcBorders>
              <w:left w:val="single" w:sz="5" w:space="0" w:color="000000"/>
            </w:tcBorders>
          </w:tcPr>
          <w:p/>
        </w:tc>
      </w:tr>
      <w:tr>
        <w:trPr>
          <w:trHeight w:val="430"/>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de sortie</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Nous ne facturons pas de coût de sortie pour ce produit, mais la personne qui vous vend le produit peut le faire.</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0.00 €</w:t>
            </w:r>
          </w:p>
          <w:p/>
        </w:tc>
        <w:tc>
          <w:tcPr>
            <w:tcW w:w="29" w:type="dxa"/>
            <w:tcBorders>
              <w:left w:val="single" w:sz="5" w:space="0" w:color="000000"/>
            </w:tcBorders>
          </w:tcPr>
          <w:p/>
        </w:tc>
      </w:tr>
      <w:tr>
        <w:trPr>
          <w:trHeight w:val="286"/>
        </w:trPr>
        <w:tc>
          <w:tcPr>
            <w:tcW w:w="6877" w:type="dxa"/>
            <w:gridSpan w:val="21"/>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récurrents (prélevés chaque année)</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9" w:type="dxa"/>
            <w:tcBorders>
              <w:left w:val="single" w:sz="5" w:space="0" w:color="000000"/>
            </w:tcBorders>
          </w:tcPr>
          <w:p/>
        </w:tc>
      </w:tr>
      <w:tr>
        <w:trPr>
          <w:trHeight w:val="573"/>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Frais de gestion et autres frais administratifs et d'exploitation</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0,81 %</w:t>
            </w:r>
            <w:r>
              <w:rPr>
                <w:color w:val="000000"/>
                <w:sz w:val="16"/>
                <w:szCs w:val="16"/>
                <w:rFonts w:ascii="Aparajita" w:hAnsi="Aparajita" w:eastAsia="Aparajita" w:cs="Aparajita"/>
                <w:spacing w:val="-2"/>
              </w:rPr>
              <w:t xml:space="preserve"> de la valeur de votre investissement par an. Cette estimation se base sur les coûts réels au cours de l’année dernière.</w:t>
            </w:r>
            <w:r>
              <w:rPr>
                <w:color w:val="000000"/>
                <w:sz w:val="16"/>
                <w:szCs w:val="16"/>
                <w:rFonts w:ascii="Aparajita" w:hAnsi="Aparajita" w:eastAsia="Aparajita" w:cs="Aparajita"/>
                <w:spacing w:val="-2"/>
              </w:rPr>
              <w:t xml:space="preserve"/>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b/>
                <w:color w:val="7030A0"/>
                <w:sz w:val="16"/>
                <w:spacing w:val="-2"/>
              </w:rPr>
              <w:spacing w:line="229"/>
              <w:jc w:val="center"/>
            </w:pPr>
            <w:r>
              <w:rPr>
                <w:b/>
                <w:color w:val="000000"/>
                <w:sz w:val="16"/>
                <w:szCs w:val="16"/>
                <w:rFonts w:ascii="Aparajita" w:hAnsi="Aparajita" w:eastAsia="Aparajita" w:cs="Aparajita"/>
                <w:spacing w:val="-2"/>
              </w:rPr>
              <w:t xml:space="preserve">81 </w:t>
            </w:r>
            <w:r>
              <w:rPr>
                <w:b/>
                <w:color w:val="000000"/>
                <w:sz w:val="16"/>
                <w:szCs w:val="16"/>
                <w:rFonts w:ascii="Aparajita" w:hAnsi="Aparajita" w:eastAsia="Aparajita" w:cs="Aparajita"/>
                <w:spacing w:val="-2"/>
              </w:rPr>
              <w:t xml:space="preserve">€</w:t>
            </w:r>
          </w:p>
          <w:p/>
        </w:tc>
        <w:tc>
          <w:tcPr>
            <w:tcW w:w="29" w:type="dxa"/>
            <w:tcBorders>
              <w:left w:val="single" w:sz="5" w:space="0" w:color="000000"/>
            </w:tcBorders>
          </w:tcPr>
          <w:p/>
        </w:tc>
      </w:tr>
      <w:tr>
        <w:trPr>
          <w:trHeight w:val="1003"/>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de transaction</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jc w:val="both"/>
            </w:pPr>
            <w:r>
              <w:rPr>
                <w:b/>
                <w:color w:val="000000"/>
                <w:sz w:val="16"/>
                <w:szCs w:val="16"/>
                <w:rFonts w:ascii="Aparajita" w:hAnsi="Aparajita" w:eastAsia="Aparajita" w:cs="Aparajita"/>
                <w:spacing w:val="-2"/>
              </w:rPr>
              <w:t xml:space="preserve">0,02 %</w:t>
            </w:r>
            <w:r>
              <w:rPr>
                <w:color w:val="000000"/>
                <w:sz w:val="16"/>
                <w:szCs w:val="16"/>
                <w:rFonts w:ascii="Aparajita" w:hAnsi="Aparajita" w:eastAsia="Aparajita" w:cs="Aparajita"/>
                <w:spacing w:val="-2"/>
              </w:rPr>
              <w:t xml:space="preserve"> de la valeur de votre investissement par an. Il s’agit d’une estimation des coûts encourus lorsque nous achetons et vendons les investissements sous-jacents au produit. Le montant réel varie en fonction de la quantité que nous achetons et vendons.</w:t>
            </w:r>
            <w:r>
              <w:rPr>
                <w:color w:val="000000"/>
                <w:sz w:val="16"/>
                <w:szCs w:val="16"/>
                <w:rFonts w:ascii="Aparajita" w:hAnsi="Aparajita" w:eastAsia="Aparajita" w:cs="Aparajita"/>
                <w:spacing w:val="-2"/>
              </w:rPr>
              <w:t xml:space="preserve"/>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1,56 </w:t>
            </w:r>
            <w:r>
              <w:rPr>
                <w:b/>
                <w:color w:val="000000"/>
                <w:sz w:val="16"/>
                <w:szCs w:val="16"/>
                <w:rFonts w:ascii="Aparajita" w:hAnsi="Aparajita" w:eastAsia="Aparajita" w:cs="Aparajita"/>
                <w:spacing w:val="-2"/>
              </w:rPr>
              <w:t xml:space="preserve">€</w:t>
            </w:r>
          </w:p>
          <w:p/>
        </w:tc>
        <w:tc>
          <w:tcPr>
            <w:tcW w:w="29" w:type="dxa"/>
            <w:tcBorders>
              <w:left w:val="single" w:sz="5" w:space="0" w:color="000000"/>
            </w:tcBorders>
          </w:tcPr>
          <w:p/>
        </w:tc>
      </w:tr>
      <w:tr>
        <w:trPr>
          <w:trHeight w:val="287"/>
        </w:trPr>
        <w:tc>
          <w:tcPr>
            <w:tcW w:w="6877" w:type="dxa"/>
            <w:gridSpan w:val="21"/>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Coûts accessoires prélevés sous certaines conditions</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DDDDDD"/>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p>
          <w:p/>
        </w:tc>
        <w:tc>
          <w:tcPr>
            <w:tcW w:w="29" w:type="dxa"/>
            <w:tcBorders>
              <w:left w:val="single" w:sz="5" w:space="0" w:color="000000"/>
            </w:tcBorders>
          </w:tcPr>
          <w:p/>
        </w:tc>
      </w:tr>
      <w:tr>
        <w:trPr>
          <w:trHeight w:val="430"/>
        </w:trPr>
        <w:tc>
          <w:tcPr>
            <w:tcW w:w="3009" w:type="dxa"/>
            <w:gridSpan w:val="8"/>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Commissions liées aux résultats (et commission d'intéressement)</w:t>
            </w:r>
          </w:p>
          <w:p/>
        </w:tc>
        <w:tc>
          <w:tcPr>
            <w:tcW w:w="3868"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Aucune commission liée aux résultats n'existe pour ce produit.</w:t>
            </w:r>
          </w:p>
          <w:p/>
        </w:tc>
        <w:tc>
          <w:tcPr>
            <w:tcW w:w="3869" w:type="dxa"/>
            <w:gridSpan w:val="13"/>
            <w:tcBorders>
              <w:top w:val="single" w:sz="5" w:space="0" w:color="000000"/>
              <w:left w:val="single" w:sz="5" w:space="0" w:color="000000"/>
              <w:bottom w:val="single" w:sz="5" w:space="0" w:color="000000"/>
              <w:right w:val="single" w:sz="5" w:space="0" w:color="000000"/>
            </w:tcBorders>
            <w:shd w:val="clear" w:color="auto" w:fill="auto"/>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2"/>
              </w:rPr>
              <w:t xml:space="preserve">0.00 €</w:t>
            </w:r>
          </w:p>
          <w:p/>
        </w:tc>
        <w:tc>
          <w:tcPr>
            <w:tcW w:w="29" w:type="dxa"/>
            <w:tcBorders>
              <w:left w:val="single" w:sz="5" w:space="0" w:color="000000"/>
            </w:tcBorders>
          </w:tcPr>
          <w:p/>
        </w:tc>
      </w:tr>
      <w:tr>
        <w:trPr>
          <w:trHeight w:val="286"/>
        </w:trPr>
        <w:tc>
          <w:tcPr>
            <w:tcW w:w="10746" w:type="dxa"/>
            <w:gridSpan w:val="34"/>
            <w:tcBorders>
              <w:top w:val="single" w:sz="5" w:space="0" w:color="000000"/>
            </w:tcBorders>
          </w:tcPr>
          <w:p/>
        </w:tc>
        <w:tc>
          <w:tcPr>
            <w:tcW w:w="29" w:type="dxa"/>
          </w:tcPr>
          <w:p/>
        </w:tc>
      </w:tr>
      <w:tr>
        <w:trPr>
          <w:trHeight w:val="215"/>
        </w:trPr>
        <w:tc>
          <w:tcPr>
            <w:tcW w:w="10746" w:type="dxa"/>
            <w:gridSpan w:val="34"/>
            <w:tcBorders>
              <w:bottom w:val="single" w:sz="5" w:space="0" w:color="000000"/>
            </w:tcBorders>
            <w:shd w:val="clear" w:color="auto" w:fill="auto"/>
          </w:tcPr>
          <w:p>
            <w:pPr>
              <w:rPr>
                <w:rFonts w:ascii="Aparajita" w:hAnsi="Aparajita" w:eastAsia="Aparajita" w:cs="Aparajita"/>
                <w:color w:val="000000"/>
                <w:sz w:val="16"/>
                <w:spacing w:val="-2"/>
              </w:rPr>
              <w:spacing w:line="229"/>
            </w:pPr>
            <w:r>
              <w:rPr>
                <w:color w:val="000000"/>
                <w:sz w:val="16"/>
                <w:szCs w:val="16"/>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Combien de temps dois-je le conserver et puis-je retirer de l’argent de façon anticipée ?</w:t>
            </w:r>
            <w:r>
              <w:rPr>
                <w:color w:val="000000"/>
                <w:sz w:val="18"/>
                <w:szCs w:val="18"/>
                <w:rFonts w:ascii="Aparajita" w:hAnsi="Aparajita" w:eastAsia="Aparajita" w:cs="Aparajita"/>
                <w:spacing w:val="-2"/>
              </w:rPr>
              <w:t xml:space="preserve"/>
            </w:r>
          </w:p>
          <w:p/>
        </w:tc>
        <w:tc>
          <w:tcPr>
            <w:tcW w:w="29" w:type="dxa"/>
          </w:tcPr>
          <w:p/>
        </w:tc>
      </w:tr>
      <w:tr>
        <w:trPr>
          <w:trHeight w:val="358"/>
        </w:trPr>
        <w:tc>
          <w:tcPr>
            <w:tcW w:w="10746" w:type="dxa"/>
            <w:gridSpan w:val="34"/>
            <w:tcBorders>
              <w:top w:val="single" w:sz="5" w:space="0" w:color="000000"/>
            </w:tcBorders>
          </w:tcPr>
          <w:p/>
        </w:tc>
        <w:tc>
          <w:tcPr>
            <w:tcW w:w="29" w:type="dxa"/>
          </w:tcPr>
          <w:p/>
        </w:tc>
      </w:tr>
      <w:tr>
        <w:trPr>
          <w:trHeight w:val="545"/>
        </w:trPr>
        <w:tc>
          <w:tcPr>
            <w:tcW w:w="10746" w:type="dxa"/>
            <w:gridSpan w:val="34"/>
            <w:shd w:val="clear" w:color="auto" w:fill="auto"/>
          </w:tcPr>
          <w:p>
            <w:pPr>
              <w:rPr>
                <w:rFonts w:ascii="Arial" w:hAnsi="Arial" w:eastAsia="Arial" w:cs="Arial"/>
                <w:color w:val="000000"/>
                <w:sz w:val="16"/>
                <w:spacing w:val="-2"/>
              </w:rPr>
              <w:spacing w:line="229"/>
              <w:jc w:val="both"/>
            </w:pPr>
            <w:r>
              <w:rPr>
                <w:color w:val="000000"/>
                <w:sz w:val="16"/>
                <w:szCs w:val="16"/>
                <w:rFonts w:ascii="Aparajita" w:hAnsi="Aparajita" w:eastAsia="Aparajita" w:cs="Aparajita"/>
                <w:spacing w:val="-2"/>
              </w:rPr>
              <w:t xml:space="preserve">La durée de placement minimale recommandée est de </w:t>
            </w:r>
            <w:r>
              <w:rPr>
                <w:color w:val="000000"/>
                <w:sz w:val="16"/>
                <w:szCs w:val="16"/>
                <w:rFonts w:ascii="Aparajita" w:hAnsi="Aparajita" w:eastAsia="Aparajita" w:cs="Aparajita"/>
                <w:spacing w:val="-2"/>
              </w:rPr>
              <w:t xml:space="preserve">cinq (5) ans </w:t>
            </w:r>
            <w:r>
              <w:rPr>
                <w:color w:val="000000"/>
                <w:sz w:val="16"/>
                <w:szCs w:val="16"/>
                <w:rFonts w:ascii="Aparajita" w:hAnsi="Aparajita" w:eastAsia="Aparajita" w:cs="Aparajita"/>
                <w:spacing w:val="-2"/>
              </w:rPr>
              <w:t xml:space="preserve">en raison de la nature du sous-jacent de l’investissement orienté sur les </w:t>
            </w:r>
            <w:r>
              <w:rPr>
                <w:color w:val="000000"/>
                <w:sz w:val="16"/>
                <w:szCs w:val="16"/>
                <w:rFonts w:ascii="Aparajita" w:hAnsi="Aparajita" w:eastAsia="Aparajita" w:cs="Aparajita"/>
                <w:spacing w:val="-2"/>
              </w:rPr>
              <w:t xml:space="preserve">marchés actions</w:t>
            </w:r>
            <w:r>
              <w:rPr>
                <w:color w:val="000000"/>
                <w:sz w:val="16"/>
                <w:szCs w:val="16"/>
                <w:rFonts w:ascii="Aparajita" w:hAnsi="Aparajita" w:eastAsia="Aparajita" w:cs="Aparajita"/>
                <w:spacing w:val="-2"/>
              </w:rPr>
              <w:t xml:space="preserve">. Les actions de cette SICAV sont des supports de placement à </w:t>
            </w:r>
            <w:r>
              <w:rPr>
                <w:color w:val="000000"/>
                <w:sz w:val="16"/>
                <w:szCs w:val="16"/>
                <w:rFonts w:ascii="Aparajita" w:hAnsi="Aparajita" w:eastAsia="Aparajita" w:cs="Aparajita"/>
                <w:spacing w:val="-2"/>
              </w:rPr>
              <w:t xml:space="preserve">long terme </w:t>
            </w:r>
            <w:r>
              <w:rPr>
                <w:color w:val="000000"/>
                <w:sz w:val="16"/>
                <w:szCs w:val="16"/>
                <w:rFonts w:ascii="Aparajita" w:hAnsi="Aparajita" w:eastAsia="Aparajita" w:cs="Aparajita"/>
                <w:spacing w:val="-2"/>
              </w:rPr>
              <w:t xml:space="preserve">, elles doivent être acquises dans une optique de diversification d’un patrimoine. Un désinvestissement avant l’échéance est possible avec toutefois un risque de perte en capital. Vous pouvez demander le remboursement de vos actions chaque jour, les opérations de rachat sont exécutées de façon quotidienne.</w:t>
            </w:r>
            <w:r>
              <w:rPr>
                <w:color w:val="000000"/>
                <w:sz w:val="16"/>
                <w:szCs w:val="16"/>
                <w:rFonts w:ascii="Arial" w:hAnsi="Arial" w:eastAsia="Arial" w:cs="Arial"/>
                <w:spacing w:val="-2"/>
              </w:rPr>
              <w:t xml:space="preserve"/>
            </w:r>
          </w:p>
          <w:p/>
        </w:tc>
        <w:tc>
          <w:tcPr>
            <w:tcW w:w="29" w:type="dxa"/>
          </w:tcPr>
          <w:p/>
        </w:tc>
      </w:tr>
      <w:tr>
        <w:trPr>
          <w:trHeight w:val="315"/>
        </w:trPr>
        <w:tc>
          <w:tcPr>
            <w:tcW w:w="10775" w:type="dxa"/>
            <w:gridSpan w:val="35"/>
          </w:tcPr>
          <w:p/>
        </w:tc>
      </w:tr>
      <w:tr>
        <w:trPr>
          <w:trHeight w:val="215"/>
        </w:trPr>
        <w:tc>
          <w:tcPr>
            <w:tcW w:w="10746" w:type="dxa"/>
            <w:gridSpan w:val="34"/>
            <w:tcBorders>
              <w:bottom w:val="single" w:sz="5" w:space="0" w:color="000000"/>
            </w:tcBorders>
            <w:shd w:val="clear" w:color="auto" w:fill="auto"/>
          </w:tcPr>
          <w:p>
            <w:pPr>
              <w:rPr>
                <w:rFonts w:ascii="Arial" w:hAnsi="Arial" w:eastAsia="Arial" w:cs="Arial"/>
                <w:color w:val="000000"/>
                <w:sz w:val="16"/>
                <w:spacing w:val="-2"/>
              </w:rPr>
              <w:spacing w:line="229"/>
            </w:pPr>
            <w:r>
              <w:rPr>
                <w:color w:val="000000"/>
                <w:sz w:val="16"/>
                <w:szCs w:val="16"/>
                <w:rFonts w:ascii="Arial" w:hAnsi="Arial" w:eastAsia="Arial" w:cs="Arial"/>
                <w:spacing w:val="-2"/>
              </w:rPr>
              <w:t xml:space="preserve"/>
            </w:r>
            <w:r>
              <w:rPr>
                <w:b/>
                <w:color w:val="000000"/>
                <w:sz w:val="18"/>
                <w:szCs w:val="18"/>
                <w:rFonts w:ascii="Aparajita" w:hAnsi="Aparajita" w:eastAsia="Aparajita" w:cs="Aparajita"/>
                <w:spacing w:val="-2"/>
              </w:rPr>
              <w:t xml:space="preserve">Comment puis-je formuler une réclamation ?</w:t>
            </w:r>
            <w:r>
              <w:rPr>
                <w:color w:val="000000"/>
                <w:sz w:val="18"/>
                <w:szCs w:val="18"/>
                <w:rFonts w:ascii="Aparajita" w:hAnsi="Aparajita" w:eastAsia="Aparajita" w:cs="Aparajita"/>
                <w:spacing w:val="-2"/>
              </w:rPr>
              <w:t xml:space="preserve"/>
            </w:r>
          </w:p>
          <w:p/>
        </w:tc>
        <w:tc>
          <w:tcPr>
            <w:tcW w:w="29" w:type="dxa"/>
          </w:tcPr>
          <w:p/>
        </w:tc>
      </w:tr>
      <w:tr>
        <w:trPr>
          <w:trHeight w:val="71"/>
        </w:trPr>
        <w:tc>
          <w:tcPr>
            <w:tcW w:w="10746" w:type="dxa"/>
            <w:gridSpan w:val="34"/>
            <w:tcBorders>
              <w:top w:val="single" w:sz="5" w:space="0" w:color="000000"/>
            </w:tcBorders>
          </w:tcPr>
          <w:p/>
        </w:tc>
        <w:tc>
          <w:tcPr>
            <w:tcW w:w="29" w:type="dxa"/>
          </w:tcPr>
          <w:p/>
        </w:tc>
      </w:tr>
      <w:tr>
        <w:trPr>
          <w:trHeight w:val="1591"/>
        </w:trPr>
        <w:tc>
          <w:tcPr>
            <w:tcW w:w="10746" w:type="dxa"/>
            <w:gridSpan w:val="34"/>
            <w:shd w:val="clear" w:color="auto" w:fill="auto"/>
          </w:tcPr>
          <w:p>
            <w:pPr>
              <w:rPr>
                <w:rFonts w:ascii="Aparajita" w:hAnsi="Aparajita" w:eastAsia="Aparajita" w:cs="Aparajita"/>
                <w:color w:val="000000"/>
                <w:sz w:val="16"/>
                <w:spacing w:val="-2"/>
              </w:rPr>
              <w:spacing w:line="150"/>
              <w:jc w:val="both"/>
            </w:pPr>
          </w:p>
          <w:p>
            <w:pPr>
              <w:rPr>
                <w:rFonts w:ascii="Aparajita" w:hAnsi="Aparajita" w:eastAsia="Aparajita" w:cs="Aparajita"/>
                <w:color w:val="000000"/>
                <w:sz w:val="16"/>
                <w:spacing w:val="-2"/>
              </w:rPr>
              <w:spacing w:line="245"/>
              <w:jc w:val="both"/>
            </w:pPr>
            <w:r>
              <w:rPr>
                <w:color w:val="000000"/>
                <w:sz w:val="16"/>
                <w:szCs w:val="16"/>
                <w:rFonts w:ascii="Aparajita" w:hAnsi="Aparajita" w:eastAsia="Aparajita" w:cs="Aparajita"/>
                <w:spacing w:val="-2"/>
              </w:rPr>
              <w:t xml:space="preserve">Vous pouvez formuler une réclamation concernant le produit ou le comportement (i) de La société de gestion (ii) d’une personne qui fournit des conseils au sujet de ce produit, ou (iii) d’une personne qui vend ce produit en adressant un courrier électronique ou un courrier postal aux personnes suivantes, selon le cas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Si </w:t>
            </w:r>
            <w:r>
              <w:rPr>
                <w:color w:val="000000"/>
                <w:sz w:val="16"/>
                <w:szCs w:val="16"/>
                <w:rFonts w:ascii="Aparajita" w:hAnsi="Aparajita" w:eastAsia="Aparajita" w:cs="Aparajita"/>
                <w:spacing w:val="-2"/>
              </w:rPr>
              <w:t xml:space="preserve">votre réclamation concerne le produit lui-même ou le comportement de la Société de gestion </w:t>
            </w:r>
            <w:r>
              <w:rPr>
                <w:color w:val="000000"/>
                <w:sz w:val="16"/>
                <w:szCs w:val="16"/>
                <w:rFonts w:ascii="Aparajita" w:hAnsi="Aparajita" w:eastAsia="Aparajita" w:cs="Aparajita"/>
                <w:spacing w:val="-2"/>
              </w:rPr>
              <w:t xml:space="preserve">: veuillez contacter la société de gestion</w:t>
            </w:r>
            <w:r>
              <w:rPr>
                <w:color w:val="000000"/>
                <w:sz w:val="16"/>
                <w:szCs w:val="16"/>
                <w:rFonts w:ascii="Aparajita" w:hAnsi="Aparajita" w:eastAsia="Aparajita" w:cs="Aparajita"/>
                <w:spacing w:val="-2"/>
              </w:rPr>
              <w:t xml:space="preserve">, par courrier, à l'attention de</w:t>
            </w:r>
            <w:r>
              <w:rPr>
                <w:color w:val="000000"/>
                <w:sz w:val="16"/>
                <w:szCs w:val="16"/>
                <w:rFonts w:ascii="Aparajita" w:hAnsi="Aparajita" w:eastAsia="Aparajita" w:cs="Aparajita"/>
                <w:spacing w:val="-2"/>
              </w:rPr>
              <w:t xml:space="preserve"> </w:t>
            </w:r>
            <w:r>
              <w:rPr>
                <w:b/>
                <w:color w:val="000000"/>
                <w:sz w:val="16"/>
                <w:szCs w:val="16"/>
                <w:rFonts w:ascii="Aparajita" w:hAnsi="Aparajita" w:eastAsia="Aparajita" w:cs="Aparajita"/>
                <w:spacing w:val="-2"/>
              </w:rPr>
              <w:t xml:space="preserve">AG2R LA MONDIALE GESTION D'ACTIFS </w:t>
            </w:r>
            <w:r>
              <w:rPr>
                <w:color w:val="000000"/>
                <w:sz w:val="16"/>
                <w:szCs w:val="16"/>
                <w:rFonts w:ascii="Aparajita" w:hAnsi="Aparajita" w:eastAsia="Aparajita" w:cs="Aparajita"/>
                <w:spacing w:val="-2"/>
              </w:rPr>
              <w:t xml:space="preserve">– </w:t>
            </w:r>
            <w:r>
              <w:rPr>
                <w:b/>
                <w:color w:val="000000"/>
                <w:sz w:val="16"/>
                <w:szCs w:val="16"/>
                <w:rFonts w:ascii="Aparajita" w:hAnsi="Aparajita" w:eastAsia="Aparajita" w:cs="Aparajita"/>
                <w:spacing w:val="-2"/>
              </w:rPr>
              <w:t xml:space="preserve">151- 155 rue de Bercy – 75012 Paris</w:t>
            </w:r>
            <w:r>
              <w:rPr>
                <w:color w:val="000000"/>
                <w:sz w:val="16"/>
                <w:szCs w:val="16"/>
                <w:rFonts w:ascii="Aparajita" w:hAnsi="Aparajita" w:eastAsia="Aparajita" w:cs="Aparajita"/>
                <w:spacing w:val="-2"/>
              </w:rPr>
              <w:t xml:space="preserve">. Une procédure de traitement des réclamations est disponible sur le site internet de la société de gestion </w:t>
            </w:r>
            <w:r>
              <w:rPr>
                <w:b/>
                <w:color w:val="000000"/>
                <w:sz w:val="16"/>
                <w:szCs w:val="16"/>
                <w:rFonts w:ascii="Aparajita" w:hAnsi="Aparajita" w:eastAsia="Aparajita" w:cs="Aparajita"/>
                <w:spacing w:val="-2"/>
              </w:rPr>
              <w:t xml:space="preserve">www.ag2rlamondiale-ga.fr</w:t>
            </w:r>
            <w:r>
              <w:rPr>
                <w:color w:val="000000"/>
                <w:sz w:val="16"/>
                <w:szCs w:val="16"/>
                <w:rFonts w:ascii="Aparajita" w:hAnsi="Aparajita" w:eastAsia="Aparajita" w:cs="Aparajita"/>
                <w:spacing w:val="-2"/>
              </w:rPr>
              <w:t xml:space="preserve">. </w:t>
            </w: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 Si votre réclamation concerne une personne qui fournit des conseils sur le produit ou bien qui le propose, veuillez contacter cette personne en direct.</w:t>
            </w:r>
          </w:p>
          <w:p>
            <w:pPr>
              <w:rPr>
                <w:rFonts w:ascii="Aparajita" w:hAnsi="Aparajita" w:eastAsia="Aparajita" w:cs="Aparajita"/>
                <w:color w:val="000000"/>
                <w:sz w:val="16"/>
                <w:spacing w:val="-2"/>
              </w:rPr>
              <w:spacing w:line="229"/>
              <w:jc w:val="both"/>
            </w:pPr>
          </w:p>
          <w:p>
            <w:pPr>
              <w:rPr>
                <w:rFonts w:ascii="Aparajita" w:hAnsi="Aparajita" w:eastAsia="Aparajita" w:cs="Aparajita"/>
                <w:color w:val="000000"/>
                <w:sz w:val="16"/>
                <w:spacing w:val="-2"/>
              </w:rPr>
              <w:spacing w:line="229"/>
              <w:jc w:val="both"/>
            </w:pPr>
            <w:r>
              <w:rPr>
                <w:color w:val="000000"/>
                <w:sz w:val="16"/>
                <w:szCs w:val="16"/>
                <w:rFonts w:ascii="Aparajita" w:hAnsi="Aparajita" w:eastAsia="Aparajita" w:cs="Aparajita"/>
                <w:spacing w:val="-2"/>
              </w:rPr>
              <w:t xml:space="preserve">Conformément aux dispositions de l’article L.621-19 du Code monétaire et financier, en dernier recours amiable, vous avez la possibilité de saisir le Médiateur de l’Autorité des Marchés Financiers (AMF) via le site internet www.amf-france.org (formulaire de demande de médiation), ou par courrier : Le Médiateur - Autorité des marchés financiers - 17, place de la Bourse - 75082 PARIS CEDEX 02. </w:t>
            </w:r>
          </w:p>
          <w:p/>
        </w:tc>
        <w:tc>
          <w:tcPr>
            <w:tcW w:w="29" w:type="dxa"/>
          </w:tcPr>
          <w:p/>
        </w:tc>
      </w:tr>
      <w:tr>
        <w:trPr>
          <w:trHeight w:val="143"/>
        </w:trPr>
        <w:tc>
          <w:tcPr>
            <w:tcW w:w="10775" w:type="dxa"/>
            <w:gridSpan w:val="35"/>
          </w:tcPr>
          <w:p/>
        </w:tc>
      </w:tr>
      <w:tr>
        <w:trPr>
          <w:trHeight w:val="387"/>
        </w:trPr>
        <w:tc>
          <w:tcPr>
            <w:tcW w:w="10746" w:type="dxa"/>
            <w:gridSpan w:val="34"/>
            <w:tcBorders>
              <w:bottom w:val="single" w:sz="5" w:space="0" w:color="000000"/>
            </w:tcBorders>
            <w:shd w:val="clear" w:color="auto" w:fill="auto"/>
          </w:tcPr>
          <w:p>
            <w:pPr>
              <w:rPr>
                <w:rFonts w:ascii="Arial" w:hAnsi="Arial" w:eastAsia="Arial" w:cs="Arial"/>
                <w:color w:val="000000"/>
                <w:sz w:val="16"/>
                <w:spacing w:val="-2"/>
              </w:rPr>
              <w:spacing w:line="229"/>
            </w:pPr>
          </w:p>
          <w:p>
            <w:pPr>
              <w:rPr>
                <w:rFonts w:ascii="Arial" w:hAnsi="Arial" w:eastAsia="Arial" w:cs="Arial"/>
                <w:color w:val="000000"/>
                <w:sz w:val="16"/>
                <w:spacing w:val="-2"/>
              </w:rPr>
              <w:spacing w:line="229"/>
            </w:pPr>
            <w:r>
              <w:rPr>
                <w:color w:val="000000"/>
                <w:sz w:val="16"/>
                <w:szCs w:val="16"/>
                <w:rFonts w:ascii="Arial" w:hAnsi="Arial" w:eastAsia="Arial" w:cs="Arial"/>
                <w:spacing w:val="-2"/>
              </w:rPr>
              <w:t xml:space="preserve"/>
            </w:r>
            <w:r>
              <w:rPr>
                <w:b/>
                <w:color w:val="000000"/>
                <w:sz w:val="18"/>
                <w:szCs w:val="18"/>
                <w:rFonts w:ascii="Aparajita" w:hAnsi="Aparajita" w:eastAsia="Aparajita" w:cs="Aparajita"/>
                <w:spacing w:val="-2"/>
              </w:rPr>
              <w:t xml:space="preserve">Autres informations pertinentes</w:t>
            </w:r>
            <w:r>
              <w:rPr>
                <w:color w:val="000000"/>
                <w:sz w:val="18"/>
                <w:szCs w:val="18"/>
                <w:rFonts w:ascii="Aparajita" w:hAnsi="Aparajita" w:eastAsia="Aparajita" w:cs="Aparajita"/>
                <w:spacing w:val="-2"/>
              </w:rPr>
              <w:t xml:space="preserve"/>
            </w:r>
          </w:p>
          <w:p/>
        </w:tc>
        <w:tc>
          <w:tcPr>
            <w:tcW w:w="29" w:type="dxa"/>
          </w:tcPr>
          <w:p/>
        </w:tc>
      </w:tr>
      <w:tr>
        <w:trPr>
          <w:trHeight w:val="287"/>
        </w:trPr>
        <w:tc>
          <w:tcPr>
            <w:tcW w:w="10746" w:type="dxa"/>
            <w:gridSpan w:val="34"/>
            <w:tcBorders>
              <w:top w:val="single" w:sz="5" w:space="0" w:color="000000"/>
            </w:tcBorders>
          </w:tcPr>
          <w:p/>
        </w:tc>
        <w:tc>
          <w:tcPr>
            <w:tcW w:w="29" w:type="dxa"/>
          </w:tcPr>
          <w:p/>
        </w:tc>
      </w:tr>
      <w:tr>
        <w:trPr>
          <w:trHeight w:val="1547"/>
        </w:trPr>
        <w:tc>
          <w:tcPr>
            <w:tcW w:w="10746" w:type="dxa"/>
            <w:gridSpan w:val="34"/>
            <w:shd w:val="clear" w:color="auto" w:fill="auto"/>
          </w:tcPr>
          <w:p>
            <w:pPr>
              <w:rPr>
                <w:rFonts w:ascii="Arial" w:hAnsi="Arial" w:eastAsia="Arial" w:cs="Arial"/>
                <w:color w:val="000000"/>
                <w:sz w:val="16"/>
                <w:spacing w:val="-2"/>
              </w:rPr>
              <w:spacing w:line="215"/>
              <w:jc w:val="both"/>
            </w:pPr>
            <w:r>
              <w:rPr>
                <w:color w:val="000000"/>
                <w:sz w:val="16"/>
                <w:szCs w:val="16"/>
                <w:rFonts w:ascii="Aparajita" w:hAnsi="Aparajita" w:eastAsia="Aparajita" w:cs="Aparajita"/>
                <w:spacing w:val="-3.88"/>
              </w:rPr>
              <w:t xml:space="preserve">Lorsque ce produit est utilisé comme support en unité de compte d’un contrat d’assurance sur la vie ou de capitalisation, les informations complémentaires sur ce contrat, telles que les coûts du contrat, qui ne sont pas compris dans les coûts indiqués dans le présent document, le contact en cas de réclamation et ce qui se passe en cas de défaillance de l’entreprise d’assurance sont présentées dans le document d’informations clés de ce contrat obligatoirement remis par votre assureur ou courtier ou tout autre intermédiaire d’assurance conformément à son obligation légale. </w:t>
            </w:r>
          </w:p>
          <w:p>
            <w:pPr>
              <w:rPr>
                <w:rFonts w:ascii="Arial" w:hAnsi="Arial" w:eastAsia="Arial" w:cs="Arial"/>
                <w:color w:val="000000"/>
                <w:sz w:val="16"/>
                <w:spacing w:val="-2"/>
              </w:rPr>
              <w:spacing w:line="215"/>
              <w:jc w:val="both"/>
            </w:pPr>
          </w:p>
          <w:p>
            <w:pPr>
              <w:rPr>
                <w:rFonts w:ascii="Arial" w:hAnsi="Arial" w:eastAsia="Arial" w:cs="Arial"/>
                <w:color w:val="000000"/>
                <w:sz w:val="16"/>
                <w:spacing w:val="-2"/>
              </w:rPr>
              <w:spacing w:line="215"/>
              <w:jc w:val="both"/>
            </w:pPr>
            <w:r>
              <w:rPr>
                <w:color w:val="000000"/>
                <w:sz w:val="16"/>
                <w:szCs w:val="16"/>
                <w:rFonts w:ascii="Aparajita" w:hAnsi="Aparajita" w:eastAsia="Aparajita" w:cs="Aparajita"/>
                <w:spacing w:val="-2"/>
              </w:rPr>
              <w:t xml:space="preserve">Pour toutes informations relatives aux performances passées, nous mettons à votre disposition le lien du site internet de la Société de gestion suivant : </w:t>
            </w:r>
            <w:r>
              <w:rPr>
                <w:b/>
                <w:color w:val="000000"/>
                <w:sz w:val="16"/>
                <w:szCs w:val="16"/>
                <w:rFonts w:ascii="Aparajita" w:hAnsi="Aparajita" w:eastAsia="Aparajita" w:cs="Aparajita"/>
                <w:spacing w:val="-2"/>
              </w:rPr>
              <w:t xml:space="preserve">https://www.ag2rlamondiale.fr/gestion-d-actifs/conseil-notre-gamme-de-fonds-opc-organismes-de-placements-collectifs/conseil-performances-passees-des-fonds-almga</w:t>
            </w:r>
          </w:p>
          <w:p>
            <w:pPr>
              <w:rPr>
                <w:rFonts w:ascii="Arial" w:hAnsi="Arial" w:eastAsia="Arial" w:cs="Arial"/>
                <w:color w:val="000000"/>
                <w:sz w:val="16"/>
                <w:spacing w:val="-2"/>
              </w:rPr>
              <w:spacing w:line="215"/>
              <w:jc w:val="both"/>
            </w:pPr>
          </w:p>
          <w:p>
            <w:pPr>
              <w:rPr>
                <w:rFonts w:ascii="Arial" w:hAnsi="Arial" w:eastAsia="Arial" w:cs="Arial"/>
                <w:color w:val="000000"/>
                <w:sz w:val="16"/>
                <w:spacing w:val="-2"/>
              </w:rPr>
              <w:spacing w:line="215"/>
              <w:jc w:val="both"/>
            </w:pPr>
            <w:r>
              <w:rPr>
                <w:color w:val="000000"/>
                <w:sz w:val="16"/>
                <w:szCs w:val="16"/>
                <w:rFonts w:ascii="Aparajita" w:hAnsi="Aparajita" w:eastAsia="Aparajita" w:cs="Aparajita"/>
                <w:spacing w:val="-2"/>
              </w:rPr>
              <w:t xml:space="preserve">Nombre d'années pour lequel les données relatives aux performances passées sont présentées : </w:t>
            </w:r>
            <w:r>
              <w:rPr>
                <w:color w:val="000000"/>
                <w:sz w:val="16"/>
                <w:szCs w:val="16"/>
                <w:rFonts w:ascii="Aparajita" w:hAnsi="Aparajita" w:eastAsia="Aparajita" w:cs="Aparajita"/>
                <w:spacing w:val="-2"/>
              </w:rPr>
              <w:t xml:space="preserve">1 an</w:t>
            </w:r>
            <w:r>
              <w:rPr>
                <w:color w:val="000000"/>
                <w:sz w:val="16"/>
                <w:szCs w:val="16"/>
                <w:rFonts w:ascii="Aparajita" w:hAnsi="Aparajita" w:eastAsia="Aparajita" w:cs="Aparajita"/>
                <w:spacing w:val="-2"/>
              </w:rPr>
              <w:t xml:space="preserve"> en fonction de la date de création de l'action.</w:t>
            </w:r>
          </w:p>
          <w:p>
            <w:pPr>
              <w:rPr>
                <w:rFonts w:ascii="Arial" w:hAnsi="Arial" w:eastAsia="Arial" w:cs="Arial"/>
                <w:color w:val="000000"/>
                <w:sz w:val="16"/>
                <w:spacing w:val="-2"/>
              </w:rPr>
              <w:spacing w:line="215"/>
            </w:pPr>
            <w:r>
              <w:rPr>
                <w:color w:val="000000"/>
                <w:sz w:val="16"/>
                <w:szCs w:val="16"/>
                <w:rFonts w:ascii="Aparajita" w:hAnsi="Aparajita" w:eastAsia="Aparajita" w:cs="Aparajita"/>
                <w:spacing w:val="-2"/>
              </w:rPr>
              <w:t xml:space="preserve"/>
            </w:r>
          </w:p>
          <w:p/>
        </w:tc>
        <w:tc>
          <w:tcPr>
            <w:tcW w:w="29" w:type="dxa"/>
          </w:tcPr>
          <w:p/>
        </w:tc>
      </w:tr>
    </w:tbl>
    <w:sectPr>
      <w:headerReference w:type="default" r:id="rIdh1"/>
      <w:footerReference w:type="default" r:id="rIdf1"/>
      <w:pgSz w:w="11952" w:h="16848"/>
      <w:pgMar w:top="562" w:right="562" w:bottom="512" w:left="562" w:header="562" w:footer="512" w:gutter="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Cambria"/>
  <w:font w:name="Arial"/>
  <w:font w:name="Aparajita"/>
  <w:font w:name="Calibri"/>
  <w:font w:name="Aparajita, sans-serif"/>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1"/>
      <w:tblW w:w="0" w:type="dxa"/>
      <w:tblLayout w:type="fixed"/>
      <w:tblCellMar>
        <w:top w:w="0" w:type="dxa"/>
        <w:left w:w="0" w:type="dxa"/>
        <w:bottom w:w="0" w:type="dxa"/>
        <w:right w:w="0" w:type="dxa"/>
      </w:tblCellMar>
      <w:tblLook w:val="04A0"/>
    </w:tblPr>
    <w:tblGrid>
      <w:gridCol w:w="14"/>
      <w:gridCol w:w="129"/>
      <w:gridCol w:w="430"/>
      <w:gridCol w:w="143"/>
      <w:gridCol w:w="2293"/>
      <w:gridCol w:w="2149"/>
      <w:gridCol w:w="373"/>
      <w:gridCol w:w="2349"/>
      <w:gridCol w:w="860"/>
      <w:gridCol w:w="716"/>
      <w:gridCol w:w="430"/>
      <w:gridCol w:w="659"/>
      <w:gridCol w:w="58"/>
      <w:gridCol w:w="143"/>
    </w:tblGrid>
    <w:tr>
      <w:trPr>
        <w:trHeight w:val="287"/>
      </w:trPr>
      <w:tc>
        <w:tcPr>
          <w:tcW w:w="9456" w:type="dxa"/>
          <w:gridSpan w:val="10"/>
        </w:tcPr>
        <w:p/>
      </w:tc>
      <w:tc>
        <w:tcPr>
          <w:tcW w:w="1147" w:type="dxa"/>
          <w:gridSpan w:val="3"/>
          <w:shd w:val="clear" w:color="auto" w:fill="auto"/>
        </w:tcPr>
        <w:p>
          <w:pPr>
            <w:spacing w:line="229"/>
            <w:rPr>
              <w:rFonts w:ascii="Arial" w:hAnsi="Arial" w:eastAsia="Arial" w:cs="Arial"/>
              <w:color w:val="000000"/>
              <w:sz w:val="16"/>
              <w:spacing w:val="-2"/>
            </w:rPr>
          </w:pPr>
          <w:r>
            <w:rPr>
              <w:rFonts w:ascii="Arial" w:hAnsi="Arial" w:eastAsia="Arial" w:cs="Arial"/>
              <w:color w:val="000000"/>
              <w:sz w:val="16"/>
              <w:spacing w:val="-2"/>
            </w:rPr>
            <w:t xml:space="preserve">1 / 3</w:t>
          </w:r>
        </w:p>
      </w:tc>
      <w:tc>
        <w:tcPr>
          <w:tcW w:w="143" w:type="dxa"/>
        </w:tc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1"/>
      <w:tblW w:w="0" w:type="dxa"/>
      <w:tblLayout w:type="fixed"/>
      <w:tblCellMar>
        <w:top w:w="0" w:type="dxa"/>
        <w:left w:w="0" w:type="dxa"/>
        <w:bottom w:w="0" w:type="dxa"/>
        <w:right w:w="0" w:type="dxa"/>
      </w:tblCellMar>
      <w:tblLook w:val="04A0"/>
    </w:tblPr>
    <w:tblGrid>
      <w:gridCol w:w="14"/>
      <w:gridCol w:w="129"/>
      <w:gridCol w:w="430"/>
      <w:gridCol w:w="143"/>
      <w:gridCol w:w="2293"/>
      <w:gridCol w:w="2149"/>
      <w:gridCol w:w="373"/>
      <w:gridCol w:w="2349"/>
      <w:gridCol w:w="860"/>
      <w:gridCol w:w="716"/>
      <w:gridCol w:w="430"/>
      <w:gridCol w:w="659"/>
      <w:gridCol w:w="58"/>
      <w:gridCol w:w="143"/>
    </w:tblGrid>
    <w:tr>
      <w:trPr>
        <w:trHeight w:val="287"/>
      </w:trPr>
      <w:tc>
        <w:tcPr>
          <w:tcW w:w="3009" w:type="dxa"/>
          <w:gridSpan w:val="5"/>
          <w:vMerge w:val="restart"/>
          <w:vAlign w:val="center"/>
        </w:tcPr>
        <w:p>
          <w:pPr/>
          <w:r>
            <w:rPr>
              <w:noProof/>
            </w:rPr>
            <w:drawing>
              <wp:inline distT="0" distB="0" distL="0" distR="0">
                <wp:extent cx="1920317" cy="548844"/>
                <wp:effectExtent l="0" t="0" r="0" b="0"/>
                <wp:docPr id="2" name="Picture 1" descr="Image000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jpeg"/>
                        <pic:cNvPicPr/>
                      </pic:nvPicPr>
                      <pic:blipFill>
                        <a:blip r:embed="rId5" cstate="print"/>
                        <a:stretch>
                          <a:fillRect/>
                        </a:stretch>
                      </pic:blipFill>
                      <pic:spPr>
                        <a:xfrm>
                          <a:off x="0" y="0"/>
                          <a:ext cx="1920317" cy="548844"/>
                        </a:xfrm>
                        <a:prstGeom prst="rect">
                          <a:avLst/>
                        </a:prstGeom>
                      </pic:spPr>
                    </pic:pic>
                  </a:graphicData>
                </a:graphic>
              </wp:inline>
            </w:drawing>
          </w:r>
        </w:p>
      </w:tc>
      <w:tc>
        <w:tcPr>
          <w:tcW w:w="5731" w:type="dxa"/>
          <w:gridSpan w:val="4"/>
        </w:tcPr>
        <w:p/>
      </w:tc>
      <w:tc>
        <w:tcPr>
          <w:tcW w:w="1146" w:type="dxa"/>
          <w:gridSpan w:val="2"/>
          <w:vMerge w:val="restart"/>
        </w:tcPr>
        <w:p>
          <w:pPr/>
          <w:r>
            <w:rPr>
              <w:noProof/>
            </w:rPr>
            <w:drawing>
              <wp:inline distT="0" distB="0" distL="0" distR="0">
                <wp:extent cx="731367" cy="640106"/>
                <wp:effectExtent l="0" t="0" r="0" b="0"/>
                <wp:docPr id="3" name="Picture 2" descr="Image00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2.jpeg"/>
                        <pic:cNvPicPr/>
                      </pic:nvPicPr>
                      <pic:blipFill>
                        <a:blip r:embed="rId6" cstate="print"/>
                        <a:stretch>
                          <a:fillRect/>
                        </a:stretch>
                      </pic:blipFill>
                      <pic:spPr>
                        <a:xfrm>
                          <a:off x="0" y="0"/>
                          <a:ext cx="731367" cy="640106"/>
                        </a:xfrm>
                        <a:prstGeom prst="rect">
                          <a:avLst/>
                        </a:prstGeom>
                      </pic:spPr>
                    </pic:pic>
                  </a:graphicData>
                </a:graphic>
              </wp:inline>
            </w:drawing>
          </w:r>
        </w:p>
      </w:tc>
      <w:tc>
        <w:tcPr>
          <w:tcW w:w="860" w:type="dxa"/>
          <w:gridSpan w:val="3"/>
        </w:tcPr>
        <w:p/>
      </w:tc>
    </w:tr>
    <w:tr>
      <w:trPr>
        <w:trHeight w:val="286"/>
      </w:trPr>
      <w:tc>
        <w:tcPr>
          <w:tcW w:w="3009" w:type="dxa"/>
          <w:gridSpan w:val="5"/>
          <w:vMerge/>
          <w:vAlign w:val="center"/>
        </w:tcPr>
        <w:p/>
      </w:tc>
      <w:tc>
        <w:tcPr>
          <w:tcW w:w="4871" w:type="dxa"/>
          <w:gridSpan w:val="3"/>
          <w:vAlign w:val="center"/>
          <w:shd w:val="clear" w:color="auto" w:fill="auto"/>
        </w:tcPr>
        <w:p>
          <w:pPr>
            <w:rPr>
              <w:rFonts w:ascii="Aparajita" w:hAnsi="Aparajita" w:eastAsia="Aparajita" w:cs="Aparajita"/>
              <w:color w:val="000000"/>
              <w:sz w:val="28"/>
              <w:spacing w:val="-2"/>
            </w:rPr>
            <w:spacing w:line="229"/>
            <w:jc w:val="center"/>
          </w:pPr>
          <w:r>
            <w:rPr>
              <w:b/>
              <w:color w:val="000000"/>
              <w:sz w:val="28"/>
              <w:szCs w:val="28"/>
              <w:rFonts w:ascii="Aparajita" w:hAnsi="Aparajita" w:eastAsia="Aparajita" w:cs="Aparajita"/>
              <w:spacing w:val="-2"/>
            </w:rPr>
            <w:t xml:space="preserve">Document d’informations clés</w:t>
          </w:r>
          <w:r>
            <w:rPr>
              <w:color w:val="000000"/>
              <w:sz w:val="28"/>
              <w:szCs w:val="28"/>
              <w:rFonts w:ascii="Aparajita" w:hAnsi="Aparajita" w:eastAsia="Aparajita" w:cs="Aparajita"/>
              <w:spacing w:val="-2"/>
            </w:rPr>
            <w:t xml:space="preserve"/>
          </w:r>
        </w:p>
        <w:p/>
      </w:tc>
      <w:tc>
        <w:tcPr>
          <w:tcW w:w="860" w:type="dxa"/>
        </w:tcPr>
        <w:p/>
      </w:tc>
      <w:tc>
        <w:tcPr>
          <w:tcW w:w="1146" w:type="dxa"/>
          <w:gridSpan w:val="2"/>
          <w:vMerge/>
        </w:tcPr>
        <w:p/>
      </w:tc>
      <w:tc>
        <w:tcPr>
          <w:tcW w:w="860" w:type="dxa"/>
          <w:gridSpan w:val="3"/>
        </w:tcPr>
        <w:p/>
      </w:tc>
    </w:tr>
    <w:tr>
      <w:trPr>
        <w:trHeight w:val="287"/>
      </w:trPr>
      <w:tc>
        <w:tcPr>
          <w:tcW w:w="3009" w:type="dxa"/>
          <w:gridSpan w:val="5"/>
          <w:vMerge/>
          <w:vAlign w:val="center"/>
        </w:tcPr>
        <w:p/>
      </w:tc>
      <w:tc>
        <w:tcPr>
          <w:tcW w:w="5731" w:type="dxa"/>
          <w:gridSpan w:val="4"/>
        </w:tcPr>
        <w:p/>
      </w:tc>
      <w:tc>
        <w:tcPr>
          <w:tcW w:w="1146" w:type="dxa"/>
          <w:gridSpan w:val="2"/>
          <w:vMerge/>
        </w:tcPr>
        <w:p/>
      </w:tc>
      <w:tc>
        <w:tcPr>
          <w:tcW w:w="860" w:type="dxa"/>
          <w:gridSpan w:val="3"/>
        </w:tcPr>
        <w:p/>
      </w:tc>
    </w:tr>
    <w:tr>
      <w:trPr>
        <w:trHeight w:val="143"/>
      </w:trPr>
      <w:tc>
        <w:tcPr>
          <w:tcW w:w="8740" w:type="dxa"/>
          <w:gridSpan w:val="9"/>
        </w:tcPr>
        <w:p/>
      </w:tc>
      <w:tc>
        <w:tcPr>
          <w:tcW w:w="1146" w:type="dxa"/>
          <w:gridSpan w:val="2"/>
          <w:vMerge/>
        </w:tcPr>
        <w:p/>
      </w:tc>
      <w:tc>
        <w:tcPr>
          <w:tcW w:w="860" w:type="dxa"/>
          <w:gridSpan w:val="3"/>
        </w:tcPr>
        <w:p/>
      </w:tc>
    </w:tr>
    <w:tr>
      <w:trPr>
        <w:trHeight w:val="731"/>
      </w:trPr>
      <w:tc>
        <w:tcPr>
          <w:tcW w:w="10746" w:type="dxa"/>
          <w:gridSpan w:val="14"/>
          <w:tcBorders>
            <w:bottom w:val="single" w:sz="5" w:space="0" w:color="000000"/>
          </w:tcBorders>
          <w:shd w:val="clear" w:color="auto" w:fill="auto"/>
        </w:tcPr>
        <w:p>
          <w:pPr>
            <w:rPr>
              <w:rFonts w:ascii="Aparajita" w:hAnsi="Aparajita" w:eastAsia="Aparajita" w:cs="Aparajita"/>
              <w:i/>
              <w:color w:val="000000"/>
              <w:sz w:val="16"/>
              <w:spacing w:val="-2"/>
            </w:rPr>
            <w:spacing w:line="229"/>
            <w:jc w:val="center"/>
          </w:pPr>
        </w:p>
        <w:p>
          <w:pPr>
            <w:rPr>
              <w:rFonts w:ascii="Aparajita" w:hAnsi="Aparajita" w:eastAsia="Aparajita" w:cs="Aparajita"/>
              <w:i/>
              <w:color w:val="000000"/>
              <w:sz w:val="16"/>
              <w:spacing w:val="-2"/>
            </w:rPr>
            <w:spacing w:line="229"/>
            <w:jc w:val="center"/>
          </w:pPr>
          <w:r>
            <w:rPr>
              <w:i/>
              <w:color w:val="000000"/>
              <w:sz w:val="16"/>
              <w:szCs w:val="16"/>
              <w:rFonts w:ascii="Aparajita" w:hAnsi="Aparajita" w:eastAsia="Aparajita" w:cs="Aparajita"/>
              <w:spacing w:val="-2"/>
            </w:rPr>
            <w:t xml:space="preserve">Le présent document contient des informations essentielles sur le produit d'investissement. Il ne s'agit pas d'un document à caractère commercial. Ces informations vous sont fournies conformément à une obligation légale, afin de vous aider à comprendre en quoi consiste ce produit et quels risques, coûts, gains et pertes potentiels y sont associés, et de vous aider à le comparer à d'autres produits.</w:t>
          </w:r>
        </w:p>
        <w:p>
          <w:pPr>
            <w:rPr>
              <w:rFonts w:ascii="Aparajita" w:hAnsi="Aparajita" w:eastAsia="Aparajita" w:cs="Aparajita"/>
              <w:i/>
              <w:color w:val="000000"/>
              <w:sz w:val="16"/>
              <w:spacing w:val="-2"/>
            </w:rPr>
            <w:spacing w:line="229"/>
            <w:jc w:val="center"/>
          </w:pPr>
          <w:r>
            <w:rPr>
              <w:i/>
              <w:color w:val="000000"/>
              <w:sz w:val="16"/>
              <w:szCs w:val="16"/>
              <w:rFonts w:ascii="Aparajita" w:hAnsi="Aparajita" w:eastAsia="Aparajita" w:cs="Aparajita"/>
              <w:spacing w:val="-2"/>
            </w:rPr>
            <w:t xml:space="preserve"/>
          </w:r>
        </w:p>
        <w:p/>
      </w:tc>
    </w:tr>
    <w:tr>
      <w:trPr>
        <w:trHeight w:val="215"/>
      </w:trPr>
      <w:tc>
        <w:tcPr>
          <w:tcW w:w="573" w:type="dxa"/>
          <w:gridSpan w:val="3"/>
          <w:tcBorders>
            <w:top w:val="single" w:sz="5" w:space="0" w:color="000000"/>
            <w:left w:val="single" w:sz="5" w:space="0" w:color="000000"/>
          </w:tcBorders>
          <w:shd w:val="clear" w:color="auto" w:fill="DDDDDD"/>
        </w:tcPr>
        <w:p>
          <w:pPr>
            <w:rPr>
              <w:rFonts w:ascii="Aparajita" w:hAnsi="Aparajita" w:eastAsia="Aparajita" w:cs="Aparajita"/>
              <w:color w:val="000000"/>
              <w:sz w:val="16"/>
              <w:spacing w:val="-2"/>
            </w:rPr>
            <w:spacing w:line="229"/>
            <w:jc w:val="center"/>
          </w:pPr>
          <w:r>
            <w:rPr>
              <w:b/>
              <w:color w:val="000000"/>
              <w:sz w:val="16"/>
              <w:szCs w:val="16"/>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Produit</w:t>
          </w:r>
          <w:r>
            <w:rPr>
              <w:b/>
              <w:color w:val="000000"/>
              <w:sz w:val="18"/>
              <w:szCs w:val="18"/>
              <w:rFonts w:ascii="Aparajita" w:hAnsi="Aparajita" w:eastAsia="Aparajita" w:cs="Aparajita"/>
              <w:spacing w:val="-2"/>
            </w:rPr>
            <w:t xml:space="preserve"/>
          </w:r>
          <w:r>
            <w:rPr>
              <w:b/>
              <w:color w:val="000000"/>
              <w:sz w:val="16"/>
              <w:szCs w:val="16"/>
              <w:rFonts w:ascii="Aparajita" w:hAnsi="Aparajita" w:eastAsia="Aparajita" w:cs="Aparajita"/>
              <w:spacing w:val="-2"/>
            </w:rPr>
            <w:t xml:space="preserve"> </w:t>
          </w:r>
          <w:r>
            <w:rPr>
              <w:color w:val="000000"/>
              <w:sz w:val="16"/>
              <w:szCs w:val="16"/>
              <w:rFonts w:ascii="Aparajita" w:hAnsi="Aparajita" w:eastAsia="Aparajita" w:cs="Aparajita"/>
              <w:spacing w:val="-2"/>
            </w:rPr>
            <w:t xml:space="preserve"/>
          </w:r>
        </w:p>
        <w:p/>
      </w:tc>
      <w:tc>
        <w:tcPr>
          <w:tcW w:w="10173" w:type="dxa"/>
          <w:gridSpan w:val="11"/>
          <w:tcBorders>
            <w:top w:val="single" w:sz="5" w:space="0" w:color="000000"/>
            <w:right w:val="single" w:sz="5" w:space="0" w:color="000000"/>
          </w:tcBorders>
          <w:shd w:val="clear" w:color="auto" w:fill="DDDDDD"/>
        </w:tcPr>
        <w:p/>
      </w:tc>
    </w:tr>
    <w:tr>
      <w:trPr>
        <w:trHeight w:val="229"/>
      </w:trPr>
      <w:tc>
        <w:tcPr>
          <w:tcW w:w="716" w:type="dxa"/>
          <w:gridSpan w:val="4"/>
          <w:tcBorders>
            <w:left w:val="single" w:sz="5" w:space="0" w:color="000000"/>
          </w:tcBorders>
          <w:shd w:val="clear" w:color="auto" w:fill="DDDDDD"/>
        </w:tcPr>
        <w:p/>
      </w:tc>
      <w:tc>
        <w:tcPr>
          <w:tcW w:w="9887" w:type="dxa"/>
          <w:gridSpan w:val="9"/>
          <w:vAlign w:val="center"/>
          <w:shd w:val="clear" w:color="auto" w:fill="DDDDDD"/>
        </w:tcPr>
        <w:p>
          <w:pPr>
            <w:rPr>
              <w:rFonts w:ascii="Aparajita" w:hAnsi="Aparajita" w:eastAsia="Aparajita" w:cs="Aparajita"/>
              <w:b/>
              <w:color w:val="000000"/>
              <w:sz w:val="18"/>
              <w:spacing w:val="-2"/>
            </w:rPr>
            <w:spacing w:line="229"/>
            <w:jc w:val="center"/>
          </w:pPr>
          <w:r>
            <w:rPr>
              <w:b/>
              <w:color w:val="000000"/>
              <w:sz w:val="18"/>
              <w:szCs w:val="18"/>
              <w:rFonts w:ascii="Aparajita" w:hAnsi="Aparajita" w:eastAsia="Aparajita" w:cs="Aparajita"/>
              <w:spacing w:val="-2"/>
            </w:rPr>
            <w:t xml:space="preserve"/>
          </w:r>
          <w:r>
            <w:rPr>
              <w:b/>
              <w:color w:val="000000"/>
              <w:sz w:val="20"/>
              <w:szCs w:val="20"/>
              <w:rFonts w:ascii="Aparajita" w:hAnsi="Aparajita" w:eastAsia="Aparajita" w:cs="Aparajita"/>
              <w:spacing w:val="-2"/>
            </w:rPr>
            <w:t xml:space="preserve"> </w:t>
          </w:r>
          <w:r>
            <w:rPr>
              <w:b/>
              <w:color w:val="000000"/>
              <w:sz w:val="20"/>
              <w:szCs w:val="20"/>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
          </w:r>
          <w:r>
            <w:rPr>
              <w:b/>
              <w:color w:val="000000"/>
              <w:sz w:val="20"/>
              <w:szCs w:val="20"/>
              <w:rFonts w:ascii="Aparajita" w:hAnsi="Aparajita" w:eastAsia="Aparajita" w:cs="Aparajita"/>
              <w:spacing w:val="-2"/>
            </w:rPr>
            <w:t xml:space="preserve">ALM SOLIDAIRE ISR - ACTION IC</w:t>
          </w:r>
          <w:r>
            <w:rPr>
              <w:b/>
              <w:color w:val="000000"/>
              <w:sz w:val="20"/>
              <w:szCs w:val="20"/>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
          </w:r>
          <w:r>
            <w:rPr>
              <w:b/>
              <w:color w:val="000000"/>
              <w:sz w:val="20"/>
              <w:szCs w:val="20"/>
              <w:rFonts w:ascii="Aparajita" w:hAnsi="Aparajita" w:eastAsia="Aparajita" w:cs="Aparajita"/>
              <w:spacing w:val="-2"/>
            </w:rPr>
            <w:t xml:space="preserve"> </w:t>
          </w:r>
          <w:r>
            <w:rPr>
              <w:b/>
              <w:color w:val="000000"/>
              <w:sz w:val="20"/>
              <w:szCs w:val="20"/>
              <w:rFonts w:ascii="Aparajita" w:hAnsi="Aparajita" w:eastAsia="Aparajita" w:cs="Aparajita"/>
              <w:spacing w:val="-2"/>
            </w:rPr>
            <w:t xml:space="preserve">- Codes : ISIN (FR0013410271) </w:t>
          </w:r>
          <w:r>
            <w:rPr>
              <w:b/>
              <w:color w:val="000000"/>
              <w:sz w:val="20"/>
              <w:szCs w:val="20"/>
              <w:rFonts w:ascii="Aparajita" w:hAnsi="Aparajita" w:eastAsia="Aparajita" w:cs="Aparajita"/>
              <w:spacing w:val="-2"/>
            </w:rPr>
            <w:t xml:space="preserve"/>
          </w:r>
        </w:p>
        <w:p/>
      </w:tc>
      <w:tc>
        <w:tcPr>
          <w:tcW w:w="143" w:type="dxa"/>
          <w:tcBorders>
            <w:right w:val="single" w:sz="5" w:space="0" w:color="000000"/>
          </w:tcBorders>
          <w:shd w:val="clear" w:color="auto" w:fill="DDDDDD"/>
        </w:tcPr>
        <w:p/>
      </w:tc>
    </w:tr>
    <w:tr>
      <w:trPr>
        <w:trHeight w:val="57"/>
      </w:trPr>
      <w:tc>
        <w:tcPr>
          <w:tcW w:w="10746" w:type="dxa"/>
          <w:gridSpan w:val="14"/>
          <w:tcBorders>
            <w:left w:val="single" w:sz="5" w:space="0" w:color="000000"/>
            <w:right w:val="single" w:sz="5" w:space="0" w:color="000000"/>
          </w:tcBorders>
          <w:shd w:val="clear" w:color="auto" w:fill="DDDDDD"/>
        </w:tcPr>
        <w:p/>
      </w:tc>
    </w:tr>
    <w:tr>
      <w:trPr>
        <w:trHeight w:val="186"/>
      </w:trPr>
      <w:tc>
        <w:tcPr>
          <w:tcW w:w="14" w:type="dxa"/>
          <w:tcBorders>
            <w:left w:val="single" w:sz="5" w:space="0" w:color="000000"/>
          </w:tcBorders>
          <w:shd w:val="clear" w:color="auto" w:fill="DDDDDD"/>
        </w:tcPr>
        <w:p/>
      </w:tc>
      <w:tc>
        <w:tcPr>
          <w:tcW w:w="10732" w:type="dxa"/>
          <w:gridSpan w:val="13"/>
          <w:tcBorders>
            <w:right w:val="single" w:sz="5" w:space="0" w:color="000000"/>
          </w:tcBorders>
          <w:shd w:val="clear" w:color="auto" w:fill="DDDDDD"/>
        </w:tcPr>
        <w:p>
          <w:pPr>
            <w:rPr>
              <w:rFonts w:ascii="Aparajita" w:hAnsi="Aparajita" w:eastAsia="Aparajita" w:cs="Aparajita"/>
              <w:b/>
              <w:color w:val="000000"/>
              <w:sz w:val="16"/>
              <w:spacing w:val="-2"/>
            </w:rPr>
            <w:spacing w:line="229"/>
            <w:jc w:val="center"/>
          </w:pPr>
          <w:r>
            <w:rPr>
              <w:b/>
              <w:color w:val="000000"/>
              <w:sz w:val="16"/>
              <w:szCs w:val="16"/>
              <w:rFonts w:ascii="Aparajita" w:hAnsi="Aparajita" w:eastAsia="Aparajita" w:cs="Aparajita"/>
              <w:spacing w:val="-3.88"/>
            </w:rPr>
            <w:t xml:space="preserve">                        </w:t>
          </w:r>
          <w:r>
            <w:rPr>
              <w:b/>
              <w:color w:val="000000"/>
              <w:sz w:val="16"/>
              <w:szCs w:val="16"/>
              <w:rFonts w:ascii="Aparajita" w:hAnsi="Aparajita" w:eastAsia="Aparajita" w:cs="Aparajita"/>
              <w:spacing w:val="-2"/>
            </w:rPr>
            <w:t xml:space="preserve">Fonds d'Investissement Alternatif (FIA) soumis au droit français géré par </w:t>
          </w:r>
          <w:r>
            <w:rPr>
              <w:b/>
              <w:color w:val="000000"/>
              <w:sz w:val="16"/>
              <w:szCs w:val="16"/>
              <w:rFonts w:ascii="Aparajita" w:hAnsi="Aparajita" w:eastAsia="Aparajita" w:cs="Aparajita"/>
              <w:spacing w:val="-2"/>
            </w:rPr>
            <w:t xml:space="preserve">AG2R LA MONDIALE GESTION D'ACTIFS du groupe </w:t>
          </w:r>
          <w:r>
            <w:rPr>
              <w:b/>
              <w:color w:val="000000"/>
              <w:sz w:val="16"/>
              <w:szCs w:val="16"/>
              <w:rFonts w:ascii="Aparajita" w:hAnsi="Aparajita" w:eastAsia="Aparajita" w:cs="Aparajita"/>
              <w:spacing w:val="-2"/>
            </w:rPr>
            <w:t xml:space="preserve">AG2R LA MONDIALE</w:t>
          </w:r>
          <w:r>
            <w:rPr>
              <w:b/>
              <w:color w:val="000000"/>
              <w:sz w:val="16"/>
              <w:szCs w:val="16"/>
              <w:rFonts w:ascii="Aparajita" w:hAnsi="Aparajita" w:eastAsia="Aparajita" w:cs="Aparajita"/>
              <w:spacing w:val="-2"/>
            </w:rPr>
            <w:t xml:space="preserve"/>
          </w:r>
        </w:p>
        <w:p/>
      </w:tc>
    </w:tr>
    <w:tr>
      <w:trPr>
        <w:trHeight w:val="1089"/>
      </w:trPr>
      <w:tc>
        <w:tcPr>
          <w:tcW w:w="10603" w:type="dxa"/>
          <w:gridSpan w:val="13"/>
          <w:vAlign w:val="center"/>
          <w:tcBorders>
            <w:left w:val="single" w:sz="5" w:space="0" w:color="000000"/>
            <w:bottom w:val="single" w:sz="5" w:space="0" w:color="000000"/>
          </w:tcBorders>
          <w:shd w:val="clear" w:color="auto" w:fill="DDDDDD"/>
        </w:tcPr>
        <w:p>
          <w:pPr>
            <w:rPr>
              <w:rFonts w:ascii="Aparajita" w:hAnsi="Aparajita" w:eastAsia="Aparajita" w:cs="Aparajita"/>
              <w:color w:val="000000"/>
              <w:sz w:val="16"/>
              <w:spacing w:val="-2"/>
            </w:rPr>
            <w:spacing w:line="229"/>
          </w:pPr>
          <w:r>
            <w:rPr>
              <w:u w:val="single"/>
              <w:color w:val="000000"/>
              <w:sz w:val="16"/>
              <w:szCs w:val="16"/>
              <w:rFonts w:ascii="Aparajita" w:hAnsi="Aparajita" w:eastAsia="Aparajita" w:cs="Aparajita"/>
              <w:spacing w:val="-2"/>
            </w:rPr>
            <w:t xml:space="preserve">Nom de l'initiateur </w:t>
          </w:r>
          <w:r>
            <w:rPr>
              <w:color w:val="000000"/>
              <w:sz w:val="16"/>
              <w:szCs w:val="16"/>
              <w:rFonts w:ascii="Aparajita" w:hAnsi="Aparajita" w:eastAsia="Aparajita" w:cs="Aparajita"/>
              <w:spacing w:val="-2"/>
            </w:rPr>
            <w:t xml:space="preserve">: </w:t>
          </w:r>
          <w:r>
            <w:rPr>
              <w:b/>
              <w:color w:val="000000"/>
              <w:sz w:val="16"/>
              <w:szCs w:val="16"/>
              <w:rFonts w:ascii="Aparajita" w:hAnsi="Aparajita" w:eastAsia="Aparajita" w:cs="Aparajita"/>
              <w:spacing w:val="-2"/>
            </w:rPr>
            <w:t xml:space="preserve">AG2R LA MONDIALE GESTION D'ACTIFS</w:t>
          </w:r>
        </w:p>
        <w:p>
          <w:pPr>
            <w:rPr>
              <w:rFonts w:ascii="Aparajita" w:hAnsi="Aparajita" w:eastAsia="Aparajita" w:cs="Aparajita"/>
              <w:color w:val="000000"/>
              <w:sz w:val="16"/>
              <w:spacing w:val="-2"/>
            </w:rPr>
            <w:spacing w:line="229"/>
          </w:pPr>
          <w:r>
            <w:rPr>
              <w:u w:val="single"/>
              <w:color w:val="000000"/>
              <w:sz w:val="16"/>
              <w:szCs w:val="16"/>
              <w:rFonts w:ascii="Aparajita" w:hAnsi="Aparajita" w:eastAsia="Aparajita" w:cs="Aparajita"/>
              <w:spacing w:val="-2"/>
            </w:rPr>
            <w:t xml:space="preserve">Site internet</w:t>
          </w:r>
          <w:r>
            <w:rPr>
              <w:color w:val="000000"/>
              <w:sz w:val="16"/>
              <w:szCs w:val="16"/>
              <w:rFonts w:ascii="Aparajita" w:hAnsi="Aparajita" w:eastAsia="Aparajita" w:cs="Aparajita"/>
              <w:spacing w:val="-2"/>
            </w:rPr>
            <w:t xml:space="preserve"> : </w:t>
          </w:r>
          <w:r>
            <w:rPr>
              <w:b/>
              <w:color w:val="000000"/>
              <w:sz w:val="16"/>
              <w:szCs w:val="16"/>
              <w:rFonts w:ascii="Aparajita" w:hAnsi="Aparajita" w:eastAsia="Aparajita" w:cs="Aparajita"/>
              <w:spacing w:val="-2"/>
            </w:rPr>
            <w:t xml:space="preserve">www.ag2rlamondiale-ga.fr</w:t>
          </w:r>
        </w:p>
        <w:p>
          <w:pPr>
            <w:rPr>
              <w:rFonts w:ascii="Aparajita" w:hAnsi="Aparajita" w:eastAsia="Aparajita" w:cs="Aparajita"/>
              <w:color w:val="000000"/>
              <w:sz w:val="16"/>
              <w:spacing w:val="-2"/>
            </w:rPr>
            <w:spacing w:line="229"/>
          </w:pPr>
          <w:r>
            <w:rPr>
              <w:u w:val="single"/>
              <w:color w:val="000000"/>
              <w:sz w:val="16"/>
              <w:szCs w:val="16"/>
              <w:rFonts w:ascii="Aparajita" w:hAnsi="Aparajita" w:eastAsia="Aparajita" w:cs="Aparajita"/>
              <w:spacing w:val="-2"/>
            </w:rPr>
            <w:t xml:space="preserve">Contact</w:t>
          </w:r>
          <w:r>
            <w:rPr>
              <w:color w:val="000000"/>
              <w:sz w:val="16"/>
              <w:szCs w:val="16"/>
              <w:rFonts w:ascii="Aparajita" w:hAnsi="Aparajita" w:eastAsia="Aparajita" w:cs="Aparajita"/>
              <w:spacing w:val="-2"/>
            </w:rPr>
            <w:t xml:space="preserve"> : Appelez le </w:t>
          </w:r>
          <w:r>
            <w:rPr>
              <w:b/>
              <w:color w:val="000000"/>
              <w:sz w:val="16"/>
              <w:szCs w:val="16"/>
              <w:rFonts w:ascii="Aparajita" w:hAnsi="Aparajita" w:eastAsia="Aparajita" w:cs="Aparajita"/>
              <w:spacing w:val="-2"/>
            </w:rPr>
            <w:t xml:space="preserve">+33 (1) 87 27 24 15</w:t>
          </w:r>
          <w:r>
            <w:rPr>
              <w:color w:val="000000"/>
              <w:sz w:val="16"/>
              <w:szCs w:val="16"/>
              <w:rFonts w:ascii="Aparajita" w:hAnsi="Aparajita" w:eastAsia="Aparajita" w:cs="Aparajita"/>
              <w:spacing w:val="-2"/>
            </w:rPr>
            <w:t xml:space="preserve"> pour de plus amples informations sur le produit.</w:t>
          </w:r>
        </w:p>
        <w:p>
          <w:pPr>
            <w:rPr>
              <w:rFonts w:ascii="Aparajita" w:hAnsi="Aparajita" w:eastAsia="Aparajita" w:cs="Aparajita"/>
              <w:color w:val="000000"/>
              <w:sz w:val="16"/>
              <w:spacing w:val="-2"/>
            </w:rPr>
            <w:spacing w:line="229"/>
          </w:pPr>
          <w:r>
            <w:rPr>
              <w:u w:val="single"/>
              <w:color w:val="000000"/>
              <w:sz w:val="16"/>
              <w:szCs w:val="16"/>
              <w:rFonts w:ascii="Aparajita" w:hAnsi="Aparajita" w:eastAsia="Aparajita" w:cs="Aparajita"/>
              <w:spacing w:val="-2"/>
            </w:rPr>
            <w:t xml:space="preserve">Autorité compétente</w:t>
          </w:r>
          <w:r>
            <w:rPr>
              <w:color w:val="000000"/>
              <w:sz w:val="16"/>
              <w:szCs w:val="16"/>
              <w:rFonts w:ascii="Aparajita" w:hAnsi="Aparajita" w:eastAsia="Aparajita" w:cs="Aparajita"/>
              <w:spacing w:val="-2"/>
            </w:rPr>
            <w:t xml:space="preserve"> : L'Autorité des marchés financiers (AMF) est chargée du contrôle de </w:t>
          </w:r>
          <w:r>
            <w:rPr>
              <w:b/>
              <w:color w:val="000000"/>
              <w:sz w:val="16"/>
              <w:szCs w:val="16"/>
              <w:rFonts w:ascii="Aparajita" w:hAnsi="Aparajita" w:eastAsia="Aparajita" w:cs="Aparajita"/>
              <w:spacing w:val="-2"/>
            </w:rPr>
            <w:t xml:space="preserve">AG2R LA MONDIALE GESTION D'ACTIFS</w:t>
          </w:r>
          <w:r>
            <w:rPr>
              <w:color w:val="000000"/>
              <w:sz w:val="16"/>
              <w:szCs w:val="16"/>
              <w:rFonts w:ascii="Aparajita" w:hAnsi="Aparajita" w:eastAsia="Aparajita" w:cs="Aparajita"/>
              <w:spacing w:val="-2"/>
            </w:rPr>
            <w:t xml:space="preserve"> en ce qui concerne ce document d’informations clés. </w:t>
          </w:r>
        </w:p>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AG2R LA MONDIALE GESTION D'ACTIFS </w:t>
          </w:r>
          <w:r>
            <w:rPr>
              <w:color w:val="000000"/>
              <w:sz w:val="16"/>
              <w:szCs w:val="16"/>
              <w:rFonts w:ascii="Aparajita" w:hAnsi="Aparajita" w:eastAsia="Aparajita" w:cs="Aparajita"/>
              <w:spacing w:val="-2"/>
            </w:rPr>
            <w:t xml:space="preserve">est agréée par la France sous le numéro </w:t>
          </w:r>
          <w:r>
            <w:rPr>
              <w:b/>
              <w:color w:val="000000"/>
              <w:sz w:val="16"/>
              <w:szCs w:val="16"/>
              <w:rFonts w:ascii="Aparajita" w:hAnsi="Aparajita" w:eastAsia="Aparajita" w:cs="Aparajita"/>
              <w:spacing w:val="-2"/>
            </w:rPr>
            <w:t xml:space="preserve">GP 03-027</w:t>
          </w:r>
          <w:r>
            <w:rPr>
              <w:color w:val="000000"/>
              <w:sz w:val="16"/>
              <w:szCs w:val="16"/>
              <w:rFonts w:ascii="Aparajita" w:hAnsi="Aparajita" w:eastAsia="Aparajita" w:cs="Aparajita"/>
              <w:spacing w:val="-2"/>
            </w:rPr>
            <w:t xml:space="preserve"> et réglementée par l'Autorité des Marchés Financiers. </w:t>
          </w:r>
        </w:p>
        <w:p>
          <w:pPr>
            <w:rPr>
              <w:rFonts w:ascii="Aparajita" w:hAnsi="Aparajita" w:eastAsia="Aparajita" w:cs="Aparajita"/>
              <w:color w:val="000000"/>
              <w:sz w:val="16"/>
              <w:spacing w:val="-2"/>
            </w:rPr>
            <w:spacing w:line="229"/>
          </w:pPr>
          <w:r>
            <w:rPr>
              <w:u w:val="single"/>
              <w:color w:val="000000"/>
              <w:sz w:val="16"/>
              <w:szCs w:val="16"/>
              <w:rFonts w:ascii="Aparajita" w:hAnsi="Aparajita" w:eastAsia="Aparajita" w:cs="Aparajita"/>
              <w:spacing w:val="-2"/>
            </w:rPr>
            <w:t xml:space="preserve">Date de production</w:t>
          </w:r>
          <w:r>
            <w:rPr>
              <w:color w:val="000000"/>
              <w:sz w:val="16"/>
              <w:szCs w:val="16"/>
              <w:rFonts w:ascii="Aparajita" w:hAnsi="Aparajita" w:eastAsia="Aparajita" w:cs="Aparajita"/>
              <w:spacing w:val="-2"/>
            </w:rPr>
            <w:t xml:space="preserve"> : 28/02/2023 </w:t>
          </w:r>
        </w:p>
        <w:p/>
      </w:tc>
      <w:tc>
        <w:tcPr>
          <w:tcW w:w="143" w:type="dxa"/>
          <w:tcBorders>
            <w:bottom w:val="single" w:sz="5" w:space="0" w:color="000000"/>
            <w:right w:val="single" w:sz="5" w:space="0" w:color="000000"/>
          </w:tcBorders>
          <w:shd w:val="clear" w:color="auto" w:fill="DDDDDD"/>
        </w:tcPr>
        <w:p/>
      </w:tc>
    </w:tr>
    <w:tr>
      <w:trPr>
        <w:trHeight w:val="230"/>
      </w:trPr>
      <w:tc>
        <w:tcPr>
          <w:tcW w:w="10746" w:type="dxa"/>
          <w:gridSpan w:val="14"/>
          <w:tcBorders>
            <w:top w:val="single" w:sz="5" w:space="0" w:color="000000"/>
          </w:tcBorders>
        </w:tcPr>
        <w:p/>
      </w:tc>
    </w:tr>
    <w:tr>
      <w:trPr>
        <w:trHeight w:val="429"/>
      </w:trPr>
      <w:tc>
        <w:tcPr>
          <w:tcW w:w="10746" w:type="dxa"/>
          <w:gridSpan w:val="14"/>
          <w:vAlign w:val="center"/>
          <w:shd w:val="clear" w:color="auto" w:fill="auto"/>
        </w:tcPr>
        <w:p>
          <w:pPr>
            <w:rPr>
              <w:rFonts w:ascii="Aparajita" w:hAnsi="Aparajita" w:eastAsia="Aparajita" w:cs="Aparajita"/>
              <w:b/>
              <w:color w:val="000000"/>
              <w:sz w:val="20"/>
              <w:spacing w:val="-2"/>
            </w:rPr>
            <w:spacing w:line="229"/>
            <w:jc w:val="center"/>
          </w:pPr>
          <w:r>
            <w:rPr>
              <w:b/>
              <w:color w:val="000000"/>
              <w:sz w:val="20"/>
              <w:szCs w:val="20"/>
              <w:rFonts w:ascii="Aparajita" w:hAnsi="Aparajita" w:eastAsia="Aparajita" w:cs="Aparajita"/>
              <w:spacing w:val="-2"/>
            </w:rPr>
            <w:t xml:space="preserve"/>
          </w:r>
          <w:r>
            <w:rPr>
              <w:b/>
              <w:color w:val="000000"/>
              <w:sz w:val="16"/>
              <w:szCs w:val="16"/>
              <w:rFonts w:ascii="Aparajita" w:hAnsi="Aparajita" w:eastAsia="Aparajita" w:cs="Aparajita"/>
              <w:spacing w:val="-2"/>
            </w:rPr>
            <w:t xml:space="preserve">Vous êtes sur le point d’acheter un produit qui n’est pas simple et peut être difficile à comprendre.</w:t>
          </w:r>
          <w:r>
            <w:rPr>
              <w:b/>
              <w:color w:val="000000"/>
              <w:sz w:val="16"/>
              <w:szCs w:val="16"/>
              <w:rFonts w:ascii="Aparajita" w:hAnsi="Aparajita" w:eastAsia="Aparajita" w:cs="Aparajita"/>
              <w:spacing w:val="-2"/>
            </w:rPr>
            <w:t xml:space="preserve"/>
          </w:r>
          <w:r>
            <w:rPr>
              <w:b/>
              <w:color w:val="000000"/>
              <w:sz w:val="20"/>
              <w:szCs w:val="20"/>
              <w:rFonts w:ascii="Aparajita" w:hAnsi="Aparajita" w:eastAsia="Aparajita" w:cs="Aparajita"/>
              <w:spacing w:val="-2"/>
            </w:rPr>
            <w:t xml:space="preserve"/>
          </w:r>
        </w:p>
        <w:p/>
      </w:tc>
    </w:tr>
    <w:tr>
      <w:trPr>
        <w:trHeight w:val="215"/>
      </w:trPr>
      <w:tc>
        <w:tcPr>
          <w:tcW w:w="10746" w:type="dxa"/>
          <w:gridSpan w:val="14"/>
          <w:shd w:val="clear" w:color="auto" w:fill="auto"/>
        </w:tcPr>
        <w:p>
          <w:pPr>
            <w:rPr>
              <w:rFonts w:ascii="Aparajita" w:hAnsi="Aparajita" w:eastAsia="Aparajita" w:cs="Aparajita"/>
              <w:color w:val="000000"/>
              <w:sz w:val="16"/>
              <w:spacing w:val="-2"/>
            </w:rPr>
            <w:spacing w:line="229"/>
          </w:pPr>
          <w:r>
            <w:rPr>
              <w:b/>
              <w:color w:val="000000"/>
              <w:sz w:val="16"/>
              <w:szCs w:val="16"/>
              <w:rFonts w:ascii="Aparajita" w:hAnsi="Aparajita" w:eastAsia="Aparajita" w:cs="Aparajita"/>
              <w:spacing w:val="-2"/>
            </w:rPr>
            <w:t xml:space="preserve"/>
          </w:r>
          <w:r>
            <w:rPr>
              <w:b/>
              <w:color w:val="000000"/>
              <w:sz w:val="18"/>
              <w:szCs w:val="18"/>
              <w:rFonts w:ascii="Aparajita" w:hAnsi="Aparajita" w:eastAsia="Aparajita" w:cs="Aparajita"/>
              <w:spacing w:val="-2"/>
            </w:rPr>
            <w:t xml:space="preserve">En quoi consiste ce produit ?</w:t>
          </w:r>
          <w:r>
            <w:rPr>
              <w:b/>
              <w:color w:val="000000"/>
              <w:sz w:val="18"/>
              <w:szCs w:val="18"/>
              <w:rFonts w:ascii="Aparajita" w:hAnsi="Aparajita" w:eastAsia="Aparajita" w:cs="Aparajita"/>
              <w:spacing w:val="-2"/>
            </w:rPr>
            <w:t xml:space="preserve"/>
          </w:r>
        </w:p>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00001.jpeg" /><Relationship Id="rId6" Type="http://schemas.openxmlformats.org/officeDocument/2006/relationships/image" Target="media/image00002.jpeg" /><Relationship Id="rId7" Type="http://schemas.openxmlformats.org/officeDocument/2006/relationships/image" Target="media/image00003.jpeg" /><Relationship Id="rId8" Type="http://schemas.openxmlformats.org/officeDocument/2006/relationships/image" Target="media/image00004.jpeg" /><Relationship Id="rId9" Type="http://schemas.openxmlformats.org/officeDocument/2006/relationships/image" Target="media/image00005.jpeg" /><Relationship Id="rId10" Type="http://schemas.openxmlformats.org/officeDocument/2006/relationships/footnotes" Target="footnotes.xml" /><Relationship Id="rId11" Type="http://schemas.openxmlformats.org/officeDocument/2006/relationships/endnotes" Target="endnotes.xml" /><Relationship Id="rIdh1" Type="http://schemas.openxmlformats.org/officeDocument/2006/relationships/header" Target="header1.xml" /><Relationship Id="rIdf1" Type="http://schemas.openxmlformats.org/officeDocument/2006/relationships/footer" Target="footer1.xml" /></Relationships>
</file>

<file path=word/_rels/footer1.xml.rels>&#65279;<?xml version="1.0" encoding="utf-8"?><Relationships xmlns="http://schemas.openxmlformats.org/package/2006/relationships"><Relationship Id="rId5" Type="http://schemas.openxmlformats.org/officeDocument/2006/relationships/image" Target="media/image00001.jpeg" /><Relationship Id="rId6" Type="http://schemas.openxmlformats.org/officeDocument/2006/relationships/image" Target="media/image00002.jpeg" /></Relationships>
</file>

<file path=word/_rels/header1.xml.rels>&#65279;<?xml version="1.0" encoding="utf-8"?><Relationships xmlns="http://schemas.openxmlformats.org/package/2006/relationships"><Relationship Id="rId5" Type="http://schemas.openxmlformats.org/officeDocument/2006/relationships/image" Target="media/image00001.jpeg" /><Relationship Id="rId6" Type="http://schemas.openxmlformats.org/officeDocument/2006/relationships/image" Target="media/image00002.jpeg"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 2023.1.8 from 24 February 2023, .NET Core 3.1</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FIVG_SICAV_template_AG2R_NoColor_V2</dc:title>
  <dc:subject>*</dc:subject>
  <dc:creator/>
  <cp:keywords/>
  <dc:description/>
  <cp:lastModifiedBy>Stimulsoft Reports 2023.1.8 from 24 February 2023, .NET Core 3.1</cp:lastModifiedBy>
  <cp:revision>1</cp:revision>
  <dcterms:created xsi:type="dcterms:W3CDTF">2023-04-05T08:18:45Z</dcterms:created>
  <dcterms:modified xsi:type="dcterms:W3CDTF">2023-04-05T08:18:45Z</dcterms:modified>
</cp:coreProperties>
</file>